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0E8490A" w14:textId="77777777" w:rsidR="00EE1280" w:rsidRDefault="00EE1280">
      <w:pPr>
        <w:pStyle w:val="Standard"/>
        <w:autoSpaceDE w:val="0"/>
        <w:jc w:val="center"/>
        <w:rPr>
          <w:rFonts w:ascii="Work Sans" w:hAnsi="Work Sans" w:cs="Arial"/>
          <w:b/>
          <w:bCs/>
          <w:sz w:val="20"/>
        </w:rPr>
      </w:pPr>
    </w:p>
    <w:p w14:paraId="7A46D7E0" w14:textId="77777777" w:rsidR="00C20C98" w:rsidRPr="004F7856" w:rsidRDefault="00BC27F7">
      <w:pPr>
        <w:pStyle w:val="Standard"/>
        <w:autoSpaceDE w:val="0"/>
        <w:jc w:val="center"/>
      </w:pPr>
      <w:r w:rsidRPr="004F7856">
        <w:rPr>
          <w:rFonts w:ascii="Work Sans" w:hAnsi="Work Sans" w:cs="Arial"/>
          <w:b/>
          <w:bCs/>
          <w:sz w:val="20"/>
        </w:rPr>
        <w:t>LA</w:t>
      </w:r>
      <w:r w:rsidRPr="004F7856">
        <w:rPr>
          <w:rFonts w:ascii="Work Sans" w:hAnsi="Work Sans" w:cs="Futura Bk BT"/>
          <w:b/>
          <w:bCs/>
          <w:sz w:val="20"/>
        </w:rPr>
        <w:t xml:space="preserve"> </w:t>
      </w:r>
      <w:r w:rsidRPr="004F7856">
        <w:rPr>
          <w:rFonts w:ascii="Work Sans" w:hAnsi="Work Sans"/>
          <w:b/>
          <w:bCs/>
          <w:sz w:val="20"/>
        </w:rPr>
        <w:t>MINISTRA</w:t>
      </w:r>
      <w:r w:rsidRPr="004F7856">
        <w:rPr>
          <w:rFonts w:ascii="Work Sans" w:hAnsi="Work Sans" w:cs="Futura Bk BT"/>
          <w:b/>
          <w:bCs/>
          <w:sz w:val="20"/>
        </w:rPr>
        <w:t xml:space="preserve"> </w:t>
      </w:r>
      <w:r w:rsidRPr="004F7856">
        <w:rPr>
          <w:rFonts w:ascii="Work Sans" w:hAnsi="Work Sans"/>
          <w:b/>
          <w:bCs/>
          <w:sz w:val="20"/>
        </w:rPr>
        <w:t>DE</w:t>
      </w:r>
      <w:r w:rsidRPr="004F7856">
        <w:rPr>
          <w:rFonts w:ascii="Work Sans" w:hAnsi="Work Sans" w:cs="Futura Bk BT"/>
          <w:b/>
          <w:bCs/>
          <w:sz w:val="20"/>
        </w:rPr>
        <w:t xml:space="preserve"> </w:t>
      </w:r>
      <w:r w:rsidRPr="004F7856">
        <w:rPr>
          <w:rFonts w:ascii="Work Sans" w:hAnsi="Work Sans"/>
          <w:b/>
          <w:bCs/>
          <w:sz w:val="20"/>
        </w:rPr>
        <w:t>TRANSPORTE</w:t>
      </w:r>
    </w:p>
    <w:p w14:paraId="0AD4A503" w14:textId="77777777" w:rsidR="00C20C98" w:rsidRPr="004F7856" w:rsidRDefault="00C20C98">
      <w:pPr>
        <w:pStyle w:val="Standard"/>
        <w:autoSpaceDE w:val="0"/>
        <w:jc w:val="both"/>
        <w:rPr>
          <w:rFonts w:ascii="Work Sans" w:hAnsi="Work Sans" w:cs="Arial"/>
          <w:sz w:val="20"/>
        </w:rPr>
      </w:pPr>
    </w:p>
    <w:p w14:paraId="1ACB28A7" w14:textId="77777777" w:rsidR="00C20C98" w:rsidRPr="004F7856" w:rsidRDefault="00BC27F7">
      <w:pPr>
        <w:widowControl/>
        <w:jc w:val="center"/>
        <w:textAlignment w:val="auto"/>
        <w:rPr>
          <w:rFonts w:ascii="Work Sans" w:hAnsi="Work Sans"/>
          <w:sz w:val="20"/>
          <w:szCs w:val="20"/>
        </w:rPr>
      </w:pPr>
      <w:r w:rsidRPr="004F7856">
        <w:rPr>
          <w:rFonts w:ascii="Work Sans" w:hAnsi="Work Sans"/>
          <w:sz w:val="20"/>
          <w:szCs w:val="20"/>
        </w:rPr>
        <w:t>En ejercicio de las facultades legales y en especial las conferidas por el artículo 21 de la Ley 105 de 1993 modificado por el artículo 1 de la Ley 787 de 2002 y el numeral 6.14 del artículo 6 del Decreto 087 de 2011, y</w:t>
      </w:r>
    </w:p>
    <w:p w14:paraId="7EE349DC" w14:textId="77777777" w:rsidR="00C20C98" w:rsidRPr="004F7856" w:rsidRDefault="00C20C98">
      <w:pPr>
        <w:widowControl/>
        <w:jc w:val="center"/>
        <w:textAlignment w:val="auto"/>
        <w:rPr>
          <w:rFonts w:ascii="Work Sans" w:hAnsi="Work Sans"/>
          <w:sz w:val="20"/>
          <w:szCs w:val="20"/>
        </w:rPr>
      </w:pPr>
    </w:p>
    <w:p w14:paraId="709569CA" w14:textId="77777777" w:rsidR="00C20C98" w:rsidRPr="004F7856" w:rsidRDefault="00BC27F7">
      <w:pPr>
        <w:pStyle w:val="Standard"/>
        <w:autoSpaceDE w:val="0"/>
        <w:jc w:val="center"/>
        <w:rPr>
          <w:rFonts w:ascii="Work Sans" w:hAnsi="Work Sans" w:cs="Arial"/>
          <w:b/>
          <w:bCs/>
          <w:sz w:val="20"/>
        </w:rPr>
      </w:pPr>
      <w:r w:rsidRPr="004F7856">
        <w:rPr>
          <w:rFonts w:ascii="Work Sans" w:hAnsi="Work Sans" w:cs="Arial"/>
          <w:b/>
          <w:bCs/>
          <w:sz w:val="20"/>
        </w:rPr>
        <w:t>CONSIDERANDO:</w:t>
      </w:r>
    </w:p>
    <w:p w14:paraId="2F0867BD" w14:textId="77777777" w:rsidR="00C20C98" w:rsidRPr="004F7856" w:rsidRDefault="00C20C98">
      <w:pPr>
        <w:pStyle w:val="Standard"/>
        <w:autoSpaceDE w:val="0"/>
        <w:jc w:val="center"/>
        <w:rPr>
          <w:rFonts w:ascii="Work Sans" w:hAnsi="Work Sans" w:cs="Arial"/>
          <w:b/>
          <w:bCs/>
          <w:sz w:val="20"/>
        </w:rPr>
      </w:pPr>
    </w:p>
    <w:p w14:paraId="70809327" w14:textId="77777777" w:rsidR="00C20C98" w:rsidRPr="004F7856" w:rsidRDefault="00BC27F7">
      <w:pPr>
        <w:widowControl/>
        <w:jc w:val="both"/>
        <w:textAlignment w:val="auto"/>
      </w:pPr>
      <w:r w:rsidRPr="004F7856">
        <w:rPr>
          <w:rStyle w:val="Fuentedeprrafopredeter0"/>
          <w:rFonts w:ascii="Work Sans" w:hAnsi="Work Sans"/>
          <w:kern w:val="0"/>
          <w:sz w:val="20"/>
          <w:szCs w:val="20"/>
          <w:lang w:val="es-CO" w:eastAsia="en-US" w:bidi="ar-SA"/>
        </w:rPr>
        <w:t>Que la Ley 105 de 1993, “</w:t>
      </w:r>
      <w:r w:rsidRPr="004F7856">
        <w:rPr>
          <w:rStyle w:val="Fuentedeprrafopredeter0"/>
          <w:rFonts w:ascii="Work Sans" w:hAnsi="Work Sans"/>
          <w:i/>
          <w:kern w:val="0"/>
          <w:sz w:val="20"/>
          <w:szCs w:val="20"/>
          <w:lang w:val="es-CO" w:eastAsia="en-US" w:bidi="ar-SA"/>
        </w:rPr>
        <w:t>Por la cual se dictan disposiciones básicas sobre el transporte, se redistribuyen competencias y recursos entre la Nación y las Entidades Territoriales, se reglamenta la planeación en el sector transporte y se dictan otras disposiciones</w:t>
      </w:r>
      <w:r w:rsidRPr="004F7856">
        <w:rPr>
          <w:rStyle w:val="Fuentedeprrafopredeter0"/>
          <w:rFonts w:ascii="Work Sans" w:hAnsi="Work Sans"/>
          <w:kern w:val="0"/>
          <w:sz w:val="20"/>
          <w:szCs w:val="20"/>
          <w:lang w:val="es-CO" w:eastAsia="en-US" w:bidi="ar-SA"/>
        </w:rPr>
        <w:t xml:space="preserve">” en su artículo 21  </w:t>
      </w:r>
      <w:r w:rsidRPr="004F7856">
        <w:rPr>
          <w:rFonts w:ascii="Work Sans" w:hAnsi="Work Sans" w:cs="Arial"/>
          <w:kern w:val="0"/>
          <w:sz w:val="20"/>
          <w:szCs w:val="20"/>
          <w:lang w:val="es-CO" w:eastAsia="es-CO" w:bidi="ar-SA"/>
        </w:rPr>
        <w:t>modificado por el artículo 1° de la </w:t>
      </w:r>
      <w:hyperlink r:id="rId8" w:tooltip="Haga clic para abrir TODA la Ley 787 de 2002" w:history="1">
        <w:r w:rsidRPr="004F7856">
          <w:rPr>
            <w:rFonts w:ascii="Work Sans" w:hAnsi="Work Sans" w:cs="Arial"/>
            <w:kern w:val="0"/>
            <w:sz w:val="20"/>
            <w:szCs w:val="20"/>
            <w:lang w:val="es-CO" w:eastAsia="es-CO" w:bidi="ar-SA"/>
          </w:rPr>
          <w:t>Ley 787 de 2002</w:t>
        </w:r>
      </w:hyperlink>
      <w:r w:rsidRPr="004F7856">
        <w:rPr>
          <w:rFonts w:ascii="Work Sans" w:hAnsi="Work Sans" w:cs="Arial"/>
          <w:kern w:val="0"/>
          <w:sz w:val="20"/>
          <w:szCs w:val="20"/>
          <w:lang w:val="es-CO" w:eastAsia="es-CO" w:bidi="ar-SA"/>
        </w:rPr>
        <w:t>, establece lo siguiente:</w:t>
      </w:r>
    </w:p>
    <w:p w14:paraId="0F9A22AD" w14:textId="77777777" w:rsidR="00C20C98" w:rsidRPr="004F7856" w:rsidRDefault="00C20C98">
      <w:pPr>
        <w:widowControl/>
        <w:jc w:val="both"/>
        <w:textAlignment w:val="auto"/>
        <w:rPr>
          <w:rFonts w:ascii="Work Sans" w:hAnsi="Work Sans" w:cs="Arial"/>
          <w:kern w:val="0"/>
          <w:sz w:val="20"/>
          <w:szCs w:val="20"/>
          <w:lang w:val="es-CO" w:eastAsia="en-US" w:bidi="ar-SA"/>
        </w:rPr>
      </w:pPr>
    </w:p>
    <w:p w14:paraId="273102B8" w14:textId="77777777" w:rsidR="00C20C98" w:rsidRPr="004F7856" w:rsidRDefault="00BC27F7">
      <w:pPr>
        <w:ind w:left="567" w:right="623"/>
        <w:jc w:val="both"/>
      </w:pPr>
      <w:r w:rsidRPr="004F7856">
        <w:rPr>
          <w:rStyle w:val="Fuentedeprrafopredeter0"/>
          <w:rFonts w:ascii="Work Sans" w:hAnsi="Work Sans"/>
          <w:i/>
          <w:kern w:val="0"/>
          <w:sz w:val="20"/>
          <w:szCs w:val="20"/>
          <w:lang w:val="es-CO" w:eastAsia="en-US" w:bidi="ar-SA"/>
        </w:rPr>
        <w:t>“</w:t>
      </w:r>
      <w:r w:rsidRPr="004F7856">
        <w:rPr>
          <w:rFonts w:ascii="Work Sans" w:hAnsi="Work Sans" w:cs="Times New Roman"/>
          <w:i/>
          <w:kern w:val="0"/>
          <w:sz w:val="20"/>
          <w:szCs w:val="20"/>
          <w:lang w:val="es-CO" w:eastAsia="es-CO" w:bidi="ar-SA"/>
        </w:rPr>
        <w:t>ARTICULO 21. </w:t>
      </w:r>
      <w:r w:rsidRPr="004F7856">
        <w:rPr>
          <w:rFonts w:ascii="Work Sans" w:hAnsi="Work Sans" w:cs="Times New Roman"/>
          <w:i/>
          <w:iCs/>
          <w:kern w:val="0"/>
          <w:sz w:val="20"/>
          <w:szCs w:val="20"/>
          <w:lang w:val="es-CO" w:eastAsia="es-CO" w:bidi="ar-SA"/>
        </w:rPr>
        <w:t>Tasas, tarifas y peajes en la infraestructura de transporte a cargo de la Nación.</w:t>
      </w:r>
      <w:r w:rsidRPr="004F7856">
        <w:rPr>
          <w:rFonts w:ascii="Work Sans" w:hAnsi="Work Sans" w:cs="Times New Roman"/>
          <w:i/>
          <w:kern w:val="0"/>
          <w:sz w:val="20"/>
          <w:szCs w:val="20"/>
          <w:lang w:val="es-CO" w:eastAsia="es-CO" w:bidi="ar-SA"/>
        </w:rPr>
        <w:t> Para la construcción y conservación de la infraestructura de transporte a cargo de la Nación, esta contará con los recursos que se apropien en el Presupuesto Nacional y además cobrará el uso de las obras de infraestructura de transporte a los usuarios, buscando garantizar su adecuado mantenimiento, operación y desarrollo.</w:t>
      </w:r>
    </w:p>
    <w:p w14:paraId="1E420558" w14:textId="77777777" w:rsidR="00C20C98" w:rsidRPr="004F7856" w:rsidRDefault="00BC27F7">
      <w:pPr>
        <w:widowControl/>
        <w:ind w:left="567" w:right="623"/>
        <w:jc w:val="both"/>
        <w:textAlignment w:val="auto"/>
      </w:pPr>
      <w:r w:rsidRPr="004F7856">
        <w:rPr>
          <w:rFonts w:ascii="Work Sans" w:hAnsi="Work Sans" w:cs="Times New Roman"/>
          <w:i/>
          <w:kern w:val="0"/>
          <w:sz w:val="20"/>
          <w:szCs w:val="20"/>
          <w:lang w:val="es-MX" w:eastAsia="es-CO" w:bidi="ar-SA"/>
        </w:rPr>
        <w:t> </w:t>
      </w:r>
    </w:p>
    <w:p w14:paraId="65D3B2CB" w14:textId="77777777" w:rsidR="00C20C98" w:rsidRPr="004F7856" w:rsidRDefault="00BC27F7">
      <w:pPr>
        <w:widowControl/>
        <w:ind w:left="567" w:right="623"/>
        <w:jc w:val="both"/>
        <w:textAlignment w:val="auto"/>
        <w:rPr>
          <w:rFonts w:ascii="Work Sans" w:hAnsi="Work Sans" w:cs="Times New Roman"/>
          <w:i/>
          <w:kern w:val="0"/>
          <w:sz w:val="20"/>
          <w:szCs w:val="20"/>
          <w:lang w:val="es-CO" w:eastAsia="es-CO" w:bidi="ar-SA"/>
        </w:rPr>
      </w:pPr>
      <w:r w:rsidRPr="004F7856">
        <w:rPr>
          <w:rFonts w:ascii="Work Sans" w:hAnsi="Work Sans" w:cs="Times New Roman"/>
          <w:i/>
          <w:kern w:val="0"/>
          <w:sz w:val="20"/>
          <w:szCs w:val="20"/>
          <w:lang w:val="es-CO" w:eastAsia="es-CO" w:bidi="ar-SA"/>
        </w:rPr>
        <w:t>Para estos efectos, la Nación establecerá peajes, tarifas y tasas sobre el uso de la infraestructura nacional de transporte y los recursos provenientes de su cobro se usarán exclusivamente para ese modo de transporte.</w:t>
      </w:r>
    </w:p>
    <w:p w14:paraId="057F0DEF" w14:textId="77777777" w:rsidR="00C20C98" w:rsidRPr="004F7856" w:rsidRDefault="00BC27F7">
      <w:pPr>
        <w:widowControl/>
        <w:ind w:left="567" w:right="623"/>
        <w:jc w:val="both"/>
        <w:textAlignment w:val="auto"/>
      </w:pPr>
      <w:r w:rsidRPr="004F7856">
        <w:rPr>
          <w:rFonts w:ascii="Work Sans" w:hAnsi="Work Sans" w:cs="Times New Roman"/>
          <w:i/>
          <w:kern w:val="0"/>
          <w:sz w:val="20"/>
          <w:szCs w:val="20"/>
          <w:lang w:val="es-MX" w:eastAsia="es-CO" w:bidi="ar-SA"/>
        </w:rPr>
        <w:t> </w:t>
      </w:r>
    </w:p>
    <w:p w14:paraId="76464AC9" w14:textId="77777777" w:rsidR="00C20C98" w:rsidRPr="004F7856" w:rsidRDefault="00BC27F7">
      <w:pPr>
        <w:widowControl/>
        <w:ind w:left="567" w:right="623"/>
        <w:jc w:val="both"/>
        <w:textAlignment w:val="auto"/>
        <w:rPr>
          <w:rFonts w:ascii="Work Sans" w:hAnsi="Work Sans" w:cs="Times New Roman"/>
          <w:i/>
          <w:kern w:val="0"/>
          <w:sz w:val="20"/>
          <w:szCs w:val="20"/>
          <w:lang w:val="es-CO" w:eastAsia="es-CO" w:bidi="ar-SA"/>
        </w:rPr>
      </w:pPr>
      <w:r w:rsidRPr="004F7856">
        <w:rPr>
          <w:rFonts w:ascii="Work Sans" w:hAnsi="Work Sans" w:cs="Times New Roman"/>
          <w:i/>
          <w:kern w:val="0"/>
          <w:sz w:val="20"/>
          <w:szCs w:val="20"/>
          <w:lang w:val="es-CO" w:eastAsia="es-CO" w:bidi="ar-SA"/>
        </w:rPr>
        <w:t>Todos los servicios que la Nación o sus entidades descentralizadas presten a los usuarios accesoriamente a la utilización de la infraestructura Nacional de Transporte, estarán sujetos al cobro de tasas o tarifas.</w:t>
      </w:r>
    </w:p>
    <w:p w14:paraId="01AFED5F" w14:textId="77777777" w:rsidR="00C20C98" w:rsidRPr="004F7856" w:rsidRDefault="00BC27F7">
      <w:pPr>
        <w:widowControl/>
        <w:ind w:left="567" w:right="623"/>
        <w:jc w:val="both"/>
        <w:textAlignment w:val="auto"/>
      </w:pPr>
      <w:r w:rsidRPr="004F7856">
        <w:rPr>
          <w:rFonts w:ascii="Work Sans" w:hAnsi="Work Sans" w:cs="Times New Roman"/>
          <w:i/>
          <w:kern w:val="0"/>
          <w:sz w:val="20"/>
          <w:szCs w:val="20"/>
          <w:lang w:val="es-MX" w:eastAsia="es-CO" w:bidi="ar-SA"/>
        </w:rPr>
        <w:t> </w:t>
      </w:r>
    </w:p>
    <w:p w14:paraId="5531FBCD" w14:textId="77777777" w:rsidR="00C20C98" w:rsidRPr="004F7856" w:rsidRDefault="00BC27F7">
      <w:pPr>
        <w:widowControl/>
        <w:ind w:left="567" w:right="623"/>
        <w:jc w:val="both"/>
        <w:textAlignment w:val="auto"/>
        <w:rPr>
          <w:rFonts w:ascii="Work Sans" w:hAnsi="Work Sans" w:cs="Times New Roman"/>
          <w:i/>
          <w:kern w:val="0"/>
          <w:sz w:val="20"/>
          <w:szCs w:val="20"/>
          <w:lang w:val="es-CO" w:eastAsia="es-CO" w:bidi="ar-SA"/>
        </w:rPr>
      </w:pPr>
      <w:r w:rsidRPr="004F7856">
        <w:rPr>
          <w:rFonts w:ascii="Work Sans" w:hAnsi="Work Sans" w:cs="Times New Roman"/>
          <w:i/>
          <w:kern w:val="0"/>
          <w:sz w:val="20"/>
          <w:szCs w:val="20"/>
          <w:lang w:val="es-CO" w:eastAsia="es-CO" w:bidi="ar-SA"/>
        </w:rPr>
        <w:t>Para la fijación y cobro de tasas, tarifas y peajes, se observarán los siguientes principios:</w:t>
      </w:r>
    </w:p>
    <w:p w14:paraId="7995BA58" w14:textId="77777777" w:rsidR="00C20C98" w:rsidRPr="004F7856" w:rsidRDefault="00BC27F7">
      <w:pPr>
        <w:widowControl/>
        <w:ind w:left="567" w:right="623"/>
        <w:jc w:val="both"/>
        <w:textAlignment w:val="auto"/>
      </w:pPr>
      <w:r w:rsidRPr="004F7856">
        <w:rPr>
          <w:rFonts w:ascii="Work Sans" w:hAnsi="Work Sans" w:cs="Times New Roman"/>
          <w:i/>
          <w:kern w:val="0"/>
          <w:sz w:val="20"/>
          <w:szCs w:val="20"/>
          <w:lang w:val="es-MX" w:eastAsia="es-CO" w:bidi="ar-SA"/>
        </w:rPr>
        <w:t> </w:t>
      </w:r>
    </w:p>
    <w:p w14:paraId="001AAEC5" w14:textId="77777777" w:rsidR="00C20C98" w:rsidRPr="004F7856" w:rsidRDefault="00BC27F7">
      <w:pPr>
        <w:widowControl/>
        <w:ind w:left="567" w:right="623"/>
        <w:jc w:val="both"/>
        <w:textAlignment w:val="auto"/>
        <w:rPr>
          <w:rFonts w:ascii="Work Sans" w:hAnsi="Work Sans" w:cs="Times New Roman"/>
          <w:i/>
          <w:kern w:val="0"/>
          <w:sz w:val="20"/>
          <w:szCs w:val="20"/>
          <w:lang w:val="es-CO" w:eastAsia="es-CO" w:bidi="ar-SA"/>
        </w:rPr>
      </w:pPr>
      <w:r w:rsidRPr="004F7856">
        <w:rPr>
          <w:rFonts w:ascii="Work Sans" w:hAnsi="Work Sans" w:cs="Times New Roman"/>
          <w:i/>
          <w:kern w:val="0"/>
          <w:sz w:val="20"/>
          <w:szCs w:val="20"/>
          <w:lang w:val="es-CO" w:eastAsia="es-CO" w:bidi="ar-SA"/>
        </w:rPr>
        <w:t>a) Los ingresos provenientes de la utilización de la infraestructura de transporte, deberán garantizar su adecuado mantenimiento, operación y desarrollo;</w:t>
      </w:r>
    </w:p>
    <w:p w14:paraId="1AAF6527" w14:textId="77777777" w:rsidR="00C20C98" w:rsidRPr="004F7856" w:rsidRDefault="00BC27F7">
      <w:pPr>
        <w:widowControl/>
        <w:ind w:left="567" w:right="623"/>
        <w:jc w:val="both"/>
        <w:textAlignment w:val="auto"/>
      </w:pPr>
      <w:r w:rsidRPr="004F7856">
        <w:rPr>
          <w:rFonts w:ascii="Work Sans" w:hAnsi="Work Sans" w:cs="Times New Roman"/>
          <w:i/>
          <w:kern w:val="0"/>
          <w:sz w:val="20"/>
          <w:szCs w:val="20"/>
          <w:lang w:val="es-MX" w:eastAsia="es-CO" w:bidi="ar-SA"/>
        </w:rPr>
        <w:t> </w:t>
      </w:r>
    </w:p>
    <w:p w14:paraId="55C85BBD" w14:textId="77777777" w:rsidR="00C20C98" w:rsidRPr="004F7856" w:rsidRDefault="00BC27F7">
      <w:pPr>
        <w:widowControl/>
        <w:ind w:left="567" w:right="623"/>
        <w:jc w:val="both"/>
        <w:textAlignment w:val="auto"/>
        <w:rPr>
          <w:rFonts w:ascii="Work Sans" w:hAnsi="Work Sans" w:cs="Times New Roman"/>
          <w:i/>
          <w:kern w:val="0"/>
          <w:sz w:val="20"/>
          <w:szCs w:val="20"/>
          <w:lang w:val="es-CO" w:eastAsia="es-CO" w:bidi="ar-SA"/>
        </w:rPr>
      </w:pPr>
      <w:r w:rsidRPr="004F7856">
        <w:rPr>
          <w:rFonts w:ascii="Work Sans" w:hAnsi="Work Sans" w:cs="Times New Roman"/>
          <w:i/>
          <w:kern w:val="0"/>
          <w:sz w:val="20"/>
          <w:szCs w:val="20"/>
          <w:lang w:val="es-CO" w:eastAsia="es-CO" w:bidi="ar-SA"/>
        </w:rPr>
        <w:t>b) Deberá cobrarse a todos los usuarios, con excepción de las motocicletas y bicicletas, máquinas extintoras de incendios de los Cuerpos de Bomberos Voluntarios, Cuerpo de Bomberos Oficiales, ambulancias pertenecientes a la Cruz Roja, Defensa Civil, Hospitales Oficiales, Vehículos de las Fuerzas Militares y de la Policía Nacional, vehículos oficiales del Instituto Nacional Penitenciario y Carcelario, Inpec, vehículos oficiales del (DAS) Departamento Administrativo de Seguridad y de las demás instituciones que prestan funciones de Policía Judicial; </w:t>
      </w:r>
    </w:p>
    <w:p w14:paraId="02745051" w14:textId="77777777" w:rsidR="00C20C98" w:rsidRPr="004F7856" w:rsidRDefault="00BC27F7">
      <w:pPr>
        <w:widowControl/>
        <w:ind w:left="567" w:right="623"/>
        <w:jc w:val="both"/>
        <w:textAlignment w:val="auto"/>
      </w:pPr>
      <w:r w:rsidRPr="004F7856">
        <w:rPr>
          <w:rFonts w:ascii="Work Sans" w:hAnsi="Work Sans" w:cs="Times New Roman"/>
          <w:i/>
          <w:kern w:val="0"/>
          <w:sz w:val="20"/>
          <w:szCs w:val="20"/>
          <w:lang w:val="es-MX" w:eastAsia="es-CO" w:bidi="ar-SA"/>
        </w:rPr>
        <w:t> </w:t>
      </w:r>
    </w:p>
    <w:p w14:paraId="4339D345" w14:textId="77777777" w:rsidR="00C20C98" w:rsidRPr="004F7856" w:rsidRDefault="00BC27F7">
      <w:pPr>
        <w:widowControl/>
        <w:ind w:left="567" w:right="623"/>
        <w:jc w:val="both"/>
        <w:textAlignment w:val="auto"/>
        <w:rPr>
          <w:rFonts w:ascii="Work Sans" w:hAnsi="Work Sans" w:cs="Times New Roman"/>
          <w:i/>
          <w:kern w:val="0"/>
          <w:sz w:val="20"/>
          <w:szCs w:val="20"/>
          <w:lang w:val="es-CO" w:eastAsia="es-CO" w:bidi="ar-SA"/>
        </w:rPr>
      </w:pPr>
      <w:r w:rsidRPr="004F7856">
        <w:rPr>
          <w:rFonts w:ascii="Work Sans" w:hAnsi="Work Sans" w:cs="Times New Roman"/>
          <w:i/>
          <w:kern w:val="0"/>
          <w:sz w:val="20"/>
          <w:szCs w:val="20"/>
          <w:lang w:val="es-CO" w:eastAsia="es-CO" w:bidi="ar-SA"/>
        </w:rPr>
        <w:t>c) El valor de las tasas o tarifas será determinado por la autoridad competente; su recaudo estará a cargo de las entidades públicas o privadas, responsables de la prestación del servicio;</w:t>
      </w:r>
    </w:p>
    <w:p w14:paraId="1C6ADF7A" w14:textId="77777777" w:rsidR="00C20C98" w:rsidRPr="004F7856" w:rsidRDefault="00BC27F7">
      <w:pPr>
        <w:widowControl/>
        <w:ind w:left="567" w:right="623"/>
        <w:jc w:val="both"/>
        <w:textAlignment w:val="auto"/>
      </w:pPr>
      <w:r w:rsidRPr="004F7856">
        <w:rPr>
          <w:rFonts w:ascii="Work Sans" w:hAnsi="Work Sans" w:cs="Times New Roman"/>
          <w:i/>
          <w:kern w:val="0"/>
          <w:sz w:val="20"/>
          <w:szCs w:val="20"/>
          <w:lang w:val="es-MX" w:eastAsia="es-CO" w:bidi="ar-SA"/>
        </w:rPr>
        <w:t> </w:t>
      </w:r>
    </w:p>
    <w:p w14:paraId="4B0C1AE5" w14:textId="77777777" w:rsidR="00C20C98" w:rsidRPr="004F7856" w:rsidRDefault="00BC27F7">
      <w:pPr>
        <w:widowControl/>
        <w:ind w:left="567" w:right="623"/>
        <w:jc w:val="both"/>
        <w:textAlignment w:val="auto"/>
        <w:rPr>
          <w:rFonts w:ascii="Work Sans" w:hAnsi="Work Sans" w:cs="Times New Roman"/>
          <w:i/>
          <w:kern w:val="0"/>
          <w:sz w:val="20"/>
          <w:szCs w:val="20"/>
          <w:lang w:val="es-CO" w:eastAsia="es-CO" w:bidi="ar-SA"/>
        </w:rPr>
      </w:pPr>
      <w:r w:rsidRPr="004F7856">
        <w:rPr>
          <w:rFonts w:ascii="Work Sans" w:hAnsi="Work Sans" w:cs="Times New Roman"/>
          <w:i/>
          <w:kern w:val="0"/>
          <w:sz w:val="20"/>
          <w:szCs w:val="20"/>
          <w:lang w:val="es-CO" w:eastAsia="es-CO" w:bidi="ar-SA"/>
        </w:rPr>
        <w:lastRenderedPageBreak/>
        <w:t>d) Las tasas de peaje serán diferenciales, es decir, se fijarán en proporción a las distancias recorridas, las características vehiculares y sus respectivos costos de operación;</w:t>
      </w:r>
    </w:p>
    <w:p w14:paraId="2A709949" w14:textId="77777777" w:rsidR="00C20C98" w:rsidRPr="004F7856" w:rsidRDefault="00BC27F7">
      <w:pPr>
        <w:widowControl/>
        <w:ind w:left="567" w:right="623"/>
        <w:jc w:val="both"/>
        <w:textAlignment w:val="auto"/>
      </w:pPr>
      <w:r w:rsidRPr="004F7856">
        <w:rPr>
          <w:rFonts w:ascii="Work Sans" w:hAnsi="Work Sans" w:cs="Times New Roman"/>
          <w:i/>
          <w:kern w:val="0"/>
          <w:sz w:val="20"/>
          <w:szCs w:val="20"/>
          <w:lang w:val="es-MX" w:eastAsia="es-CO" w:bidi="ar-SA"/>
        </w:rPr>
        <w:t> </w:t>
      </w:r>
    </w:p>
    <w:p w14:paraId="3CB5540B" w14:textId="77777777" w:rsidR="00C20C98" w:rsidRPr="004F7856" w:rsidRDefault="00BC27F7">
      <w:pPr>
        <w:widowControl/>
        <w:ind w:left="567" w:right="623"/>
        <w:jc w:val="both"/>
        <w:textAlignment w:val="auto"/>
        <w:rPr>
          <w:rFonts w:ascii="Work Sans" w:hAnsi="Work Sans" w:cs="Times New Roman"/>
          <w:i/>
          <w:kern w:val="0"/>
          <w:sz w:val="20"/>
          <w:szCs w:val="20"/>
          <w:lang w:val="es-CO" w:eastAsia="es-CO" w:bidi="ar-SA"/>
        </w:rPr>
      </w:pPr>
      <w:r w:rsidRPr="004F7856">
        <w:rPr>
          <w:rFonts w:ascii="Work Sans" w:hAnsi="Work Sans" w:cs="Times New Roman"/>
          <w:i/>
          <w:kern w:val="0"/>
          <w:sz w:val="20"/>
          <w:szCs w:val="20"/>
          <w:lang w:val="es-CO" w:eastAsia="es-CO" w:bidi="ar-SA"/>
        </w:rPr>
        <w:t>e) Para la determinación del valor del peaje y de las tasas de valoración en las vías nacionales, se tendrá en cuenta un criterio de equidad fiscal.</w:t>
      </w:r>
    </w:p>
    <w:p w14:paraId="136611A0" w14:textId="77777777" w:rsidR="00C20C98" w:rsidRPr="004F7856" w:rsidRDefault="00BC27F7">
      <w:pPr>
        <w:widowControl/>
        <w:ind w:left="567" w:right="623"/>
        <w:jc w:val="both"/>
        <w:textAlignment w:val="auto"/>
      </w:pPr>
      <w:r w:rsidRPr="004F7856">
        <w:rPr>
          <w:rFonts w:ascii="Work Sans" w:hAnsi="Work Sans" w:cs="Times New Roman"/>
          <w:i/>
          <w:kern w:val="0"/>
          <w:sz w:val="20"/>
          <w:szCs w:val="20"/>
          <w:lang w:val="es-MX" w:eastAsia="es-CO" w:bidi="ar-SA"/>
        </w:rPr>
        <w:t> </w:t>
      </w:r>
    </w:p>
    <w:p w14:paraId="4DBEE29E" w14:textId="77777777" w:rsidR="00C20C98" w:rsidRPr="004F7856" w:rsidRDefault="00BC27F7">
      <w:pPr>
        <w:widowControl/>
        <w:ind w:left="567" w:right="623"/>
        <w:jc w:val="both"/>
        <w:textAlignment w:val="auto"/>
        <w:rPr>
          <w:rFonts w:ascii="Work Sans" w:hAnsi="Work Sans" w:cs="Times New Roman"/>
          <w:i/>
          <w:kern w:val="0"/>
          <w:sz w:val="20"/>
          <w:szCs w:val="20"/>
          <w:lang w:val="es-CO" w:eastAsia="es-CO" w:bidi="ar-SA"/>
        </w:rPr>
      </w:pPr>
      <w:r w:rsidRPr="004F7856">
        <w:rPr>
          <w:rFonts w:ascii="Work Sans" w:hAnsi="Work Sans" w:cs="Times New Roman"/>
          <w:i/>
          <w:kern w:val="0"/>
          <w:sz w:val="20"/>
          <w:szCs w:val="20"/>
          <w:lang w:val="es-CO" w:eastAsia="es-CO" w:bidi="ar-SA"/>
        </w:rPr>
        <w:t>Parágrafo 1°. La Nación podrá en caso de necesidad y previo concepto del Ministerio de Transporte, apropiar recursos del Presupuesto Nacional para el mantenimiento, operación y desarrollo de la infraestructura de transporte.</w:t>
      </w:r>
    </w:p>
    <w:p w14:paraId="2F08A9C8" w14:textId="77777777" w:rsidR="00C20C98" w:rsidRPr="004F7856" w:rsidRDefault="00BC27F7">
      <w:pPr>
        <w:widowControl/>
        <w:ind w:left="567" w:right="623"/>
        <w:jc w:val="both"/>
        <w:textAlignment w:val="auto"/>
      </w:pPr>
      <w:r w:rsidRPr="004F7856">
        <w:rPr>
          <w:rFonts w:ascii="Work Sans" w:hAnsi="Work Sans" w:cs="Times New Roman"/>
          <w:i/>
          <w:kern w:val="0"/>
          <w:sz w:val="20"/>
          <w:szCs w:val="20"/>
          <w:lang w:val="es-MX" w:eastAsia="es-CO" w:bidi="ar-SA"/>
        </w:rPr>
        <w:t> </w:t>
      </w:r>
    </w:p>
    <w:p w14:paraId="7A662416" w14:textId="77777777" w:rsidR="00C20C98" w:rsidRPr="004F7856" w:rsidRDefault="00BC27F7">
      <w:pPr>
        <w:widowControl/>
        <w:ind w:left="567" w:right="623"/>
        <w:jc w:val="both"/>
        <w:textAlignment w:val="auto"/>
      </w:pPr>
      <w:r w:rsidRPr="004F7856">
        <w:rPr>
          <w:rFonts w:ascii="Work Sans" w:hAnsi="Work Sans" w:cs="Times New Roman"/>
          <w:i/>
          <w:kern w:val="0"/>
          <w:sz w:val="20"/>
          <w:szCs w:val="20"/>
          <w:lang w:val="es-CO" w:eastAsia="es-CO" w:bidi="ar-SA"/>
        </w:rPr>
        <w:t>Parágrafo 2°. Para tener derecho a la exención contemplada en el literal b), es de carácter obligatorio que los vehículos allí relacionados, con excepción de las bicicletas y motocicletas, estén plenamente identificados con los emblemas, colores y distintivos institucionales de cada una de las entidades y organismos a los cuales pertenecen. Para efectos de control, el Ministerio de Transporte reglamentará lo pertinente.</w:t>
      </w:r>
      <w:r w:rsidRPr="004F7856">
        <w:rPr>
          <w:rFonts w:ascii="Work Sans" w:hAnsi="Work Sans" w:cs="Times New Roman"/>
          <w:b/>
          <w:bCs/>
          <w:i/>
          <w:kern w:val="0"/>
          <w:sz w:val="20"/>
          <w:szCs w:val="20"/>
          <w:lang w:val="es-CO" w:eastAsia="es-CO" w:bidi="ar-SA"/>
        </w:rPr>
        <w:t> </w:t>
      </w:r>
    </w:p>
    <w:p w14:paraId="3B83564E" w14:textId="77777777" w:rsidR="00C20C98" w:rsidRPr="004F7856" w:rsidRDefault="00BC27F7">
      <w:pPr>
        <w:widowControl/>
        <w:ind w:left="567" w:right="623"/>
        <w:jc w:val="both"/>
        <w:textAlignment w:val="auto"/>
      </w:pPr>
      <w:r w:rsidRPr="004F7856">
        <w:rPr>
          <w:rFonts w:ascii="Work Sans" w:hAnsi="Work Sans" w:cs="Times New Roman"/>
          <w:i/>
          <w:kern w:val="0"/>
          <w:sz w:val="20"/>
          <w:szCs w:val="20"/>
          <w:lang w:val="es-MX" w:eastAsia="es-CO" w:bidi="ar-SA"/>
        </w:rPr>
        <w:t> </w:t>
      </w:r>
    </w:p>
    <w:p w14:paraId="3892C0FC" w14:textId="77777777" w:rsidR="00C20C98" w:rsidRPr="004F7856" w:rsidRDefault="00BC27F7">
      <w:pPr>
        <w:widowControl/>
        <w:ind w:left="567" w:right="623"/>
        <w:jc w:val="both"/>
        <w:textAlignment w:val="auto"/>
        <w:rPr>
          <w:rFonts w:ascii="Work Sans" w:hAnsi="Work Sans" w:cs="Times New Roman"/>
          <w:i/>
          <w:kern w:val="0"/>
          <w:sz w:val="20"/>
          <w:szCs w:val="20"/>
          <w:lang w:val="es-CO" w:eastAsia="es-CO" w:bidi="ar-SA"/>
        </w:rPr>
      </w:pPr>
      <w:r w:rsidRPr="004F7856">
        <w:rPr>
          <w:rFonts w:ascii="Work Sans" w:hAnsi="Work Sans" w:cs="Times New Roman"/>
          <w:i/>
          <w:kern w:val="0"/>
          <w:sz w:val="20"/>
          <w:szCs w:val="20"/>
          <w:lang w:val="es-CO" w:eastAsia="es-CO" w:bidi="ar-SA"/>
        </w:rPr>
        <w:t>Parágrafo 3°. Facúltese a las Entidades Territoriales para decretar las exenciones contempladas en el literal b), del artículo 1°.</w:t>
      </w:r>
    </w:p>
    <w:p w14:paraId="7102446F" w14:textId="77777777" w:rsidR="00C20C98" w:rsidRPr="004F7856" w:rsidRDefault="00BC27F7">
      <w:pPr>
        <w:widowControl/>
        <w:ind w:left="567" w:right="623"/>
        <w:jc w:val="both"/>
        <w:textAlignment w:val="auto"/>
      </w:pPr>
      <w:r w:rsidRPr="004F7856">
        <w:rPr>
          <w:rFonts w:ascii="Work Sans" w:hAnsi="Work Sans" w:cs="Times New Roman"/>
          <w:i/>
          <w:kern w:val="0"/>
          <w:sz w:val="20"/>
          <w:szCs w:val="20"/>
          <w:lang w:val="es-MX" w:eastAsia="es-CO" w:bidi="ar-SA"/>
        </w:rPr>
        <w:t> </w:t>
      </w:r>
    </w:p>
    <w:p w14:paraId="7F083BB3" w14:textId="77777777" w:rsidR="00C20C98" w:rsidRPr="004F7856" w:rsidRDefault="00BC27F7">
      <w:pPr>
        <w:widowControl/>
        <w:ind w:left="567" w:right="623"/>
        <w:jc w:val="both"/>
        <w:textAlignment w:val="auto"/>
      </w:pPr>
      <w:r w:rsidRPr="004F7856">
        <w:rPr>
          <w:rFonts w:ascii="Work Sans" w:hAnsi="Work Sans" w:cs="Times New Roman"/>
          <w:i/>
          <w:kern w:val="0"/>
          <w:sz w:val="20"/>
          <w:szCs w:val="20"/>
          <w:lang w:val="es-CO" w:eastAsia="es-CO" w:bidi="ar-SA"/>
        </w:rPr>
        <w:t>Parágrafo 4°. Se entiende también las vías “Concesionadas”</w:t>
      </w:r>
    </w:p>
    <w:p w14:paraId="79E73916" w14:textId="77777777" w:rsidR="00C20C98" w:rsidRPr="004F7856" w:rsidRDefault="00C20C98">
      <w:pPr>
        <w:widowControl/>
        <w:tabs>
          <w:tab w:val="left" w:pos="0"/>
        </w:tabs>
        <w:ind w:left="567" w:right="900"/>
        <w:jc w:val="both"/>
        <w:textAlignment w:val="auto"/>
        <w:rPr>
          <w:rFonts w:ascii="Work Sans" w:hAnsi="Work Sans" w:cs="Times New Roman"/>
          <w:i/>
          <w:kern w:val="0"/>
          <w:sz w:val="20"/>
          <w:szCs w:val="20"/>
          <w:lang w:val="es-CO" w:eastAsia="es-CO" w:bidi="ar-SA"/>
        </w:rPr>
      </w:pPr>
    </w:p>
    <w:p w14:paraId="3685F2F6" w14:textId="77777777" w:rsidR="00C20C98" w:rsidRPr="004F7856" w:rsidRDefault="00BC27F7">
      <w:pPr>
        <w:ind w:right="49"/>
        <w:jc w:val="both"/>
      </w:pPr>
      <w:r w:rsidRPr="004F7856">
        <w:rPr>
          <w:rStyle w:val="Fuentedeprrafopredeter0"/>
          <w:rFonts w:ascii="Work Sans" w:hAnsi="Work Sans" w:cs="Arial"/>
          <w:kern w:val="0"/>
          <w:sz w:val="20"/>
          <w:szCs w:val="20"/>
          <w:lang w:val="es-CO" w:eastAsia="en-US" w:bidi="ar-SA"/>
        </w:rPr>
        <w:t xml:space="preserve">Que el Decreto 2618 de 2013 </w:t>
      </w:r>
      <w:r w:rsidRPr="004F7856">
        <w:rPr>
          <w:rStyle w:val="Fuentedeprrafopredeter0"/>
          <w:rFonts w:ascii="Work Sans" w:hAnsi="Work Sans" w:cs="Arial"/>
          <w:i/>
          <w:kern w:val="0"/>
          <w:sz w:val="20"/>
          <w:szCs w:val="20"/>
          <w:lang w:val="es-CO" w:eastAsia="en-US" w:bidi="ar-SA"/>
        </w:rPr>
        <w:t>“Por el cual se modifica la estructura del Instituto Nacional de Vías – INVIAS – y se determinan las funciones de sus dependencias”,</w:t>
      </w:r>
      <w:r w:rsidRPr="004F7856">
        <w:rPr>
          <w:rStyle w:val="Fuentedeprrafopredeter0"/>
          <w:rFonts w:ascii="Work Sans" w:hAnsi="Work Sans" w:cs="Arial"/>
          <w:kern w:val="0"/>
          <w:sz w:val="20"/>
          <w:szCs w:val="20"/>
          <w:lang w:val="es-CO" w:eastAsia="en-US" w:bidi="ar-SA"/>
        </w:rPr>
        <w:t xml:space="preserve"> establece que el Instituto Nacional de Vías (Invías) tiene por objeto la ejecución de las políticas, estrategias, planes, programas y proyectos de la infraestructura no concesionada de la Red Vial Nacional de carreteras primaria y terciaria y estableció entre otras funciones a cargo del Invías, la siguiente: </w:t>
      </w:r>
    </w:p>
    <w:p w14:paraId="4BC6857B" w14:textId="77777777" w:rsidR="00C20C98" w:rsidRPr="004F7856" w:rsidRDefault="00C20C98">
      <w:pPr>
        <w:ind w:right="49"/>
        <w:jc w:val="both"/>
        <w:rPr>
          <w:rFonts w:ascii="Verdana" w:hAnsi="Verdana"/>
          <w:sz w:val="22"/>
          <w:szCs w:val="22"/>
        </w:rPr>
      </w:pPr>
    </w:p>
    <w:p w14:paraId="19FBAFC7" w14:textId="77777777" w:rsidR="00C20C98" w:rsidRPr="004F7856" w:rsidRDefault="00BC27F7">
      <w:pPr>
        <w:ind w:left="543" w:right="900"/>
        <w:jc w:val="both"/>
        <w:rPr>
          <w:rFonts w:ascii="Work Sans" w:hAnsi="Work Sans" w:cs="Times New Roman"/>
          <w:i/>
          <w:kern w:val="0"/>
          <w:sz w:val="18"/>
          <w:szCs w:val="18"/>
          <w:lang w:val="es-CO" w:eastAsia="es-CO" w:bidi="ar-SA"/>
        </w:rPr>
      </w:pPr>
      <w:r w:rsidRPr="004F7856">
        <w:rPr>
          <w:rFonts w:ascii="Work Sans" w:hAnsi="Work Sans" w:cs="Times New Roman"/>
          <w:i/>
          <w:kern w:val="0"/>
          <w:sz w:val="18"/>
          <w:szCs w:val="18"/>
          <w:lang w:val="es-CO" w:eastAsia="es-CO" w:bidi="ar-SA"/>
        </w:rPr>
        <w:t>“2.6 Recaudar los peajes y demás cobros sobre el uso de la Infraestructura vial a su cargo.”</w:t>
      </w:r>
    </w:p>
    <w:p w14:paraId="679334F1" w14:textId="77777777" w:rsidR="00C20C98" w:rsidRPr="004F7856" w:rsidRDefault="00C20C98">
      <w:pPr>
        <w:widowControl/>
        <w:ind w:right="49"/>
        <w:jc w:val="both"/>
        <w:textAlignment w:val="auto"/>
        <w:rPr>
          <w:rFonts w:ascii="Work Sans" w:hAnsi="Work Sans" w:cs="Arial"/>
          <w:kern w:val="0"/>
          <w:sz w:val="20"/>
          <w:szCs w:val="20"/>
          <w:lang w:val="es-CO" w:eastAsia="en-US" w:bidi="ar-SA"/>
        </w:rPr>
      </w:pPr>
    </w:p>
    <w:p w14:paraId="1562DE9D" w14:textId="77777777" w:rsidR="00C20C98" w:rsidRPr="004F7856" w:rsidRDefault="00BC27F7" w:rsidP="00945C51">
      <w:pPr>
        <w:spacing w:before="28" w:after="28"/>
        <w:jc w:val="both"/>
        <w:rPr>
          <w:rFonts w:ascii="Work Sans" w:hAnsi="Work Sans" w:cs="Arial"/>
          <w:kern w:val="0"/>
          <w:sz w:val="20"/>
          <w:szCs w:val="20"/>
          <w:lang w:val="es-CO" w:eastAsia="en-US" w:bidi="ar-SA"/>
        </w:rPr>
      </w:pPr>
      <w:r w:rsidRPr="004F7856">
        <w:rPr>
          <w:rFonts w:ascii="Work Sans" w:hAnsi="Work Sans" w:cs="Arial"/>
          <w:kern w:val="0"/>
          <w:sz w:val="20"/>
          <w:szCs w:val="20"/>
          <w:lang w:val="es-CO" w:eastAsia="en-US" w:bidi="ar-SA"/>
        </w:rPr>
        <w:t>Que en el artículo 1 de la Resolución 002253 del 31 de mayo de 2006</w:t>
      </w:r>
      <w:r w:rsidR="00945C51" w:rsidRPr="004F7856">
        <w:rPr>
          <w:rFonts w:ascii="Work Sans" w:hAnsi="Work Sans" w:cs="Arial"/>
          <w:kern w:val="0"/>
          <w:sz w:val="20"/>
          <w:szCs w:val="20"/>
          <w:lang w:val="es-CO" w:eastAsia="en-US" w:bidi="ar-SA"/>
        </w:rPr>
        <w:t xml:space="preserve"> </w:t>
      </w:r>
      <w:r w:rsidR="00945C51" w:rsidRPr="004F7856">
        <w:rPr>
          <w:rFonts w:ascii="Work Sans" w:hAnsi="Work Sans" w:cs="Times New Roman"/>
          <w:i/>
          <w:sz w:val="20"/>
          <w:szCs w:val="20"/>
          <w:lang w:eastAsia="es-CO"/>
        </w:rPr>
        <w:t>“por la cual se ordena el traslado de una Estación de Peaje, se ordena la entrega de las estaciones y se fijan las tarifas de peaje y procedimientos de ajuste para la concesión del Proyecto Vial denominado “Rumichaca-Pasto-Chachagüí-Aeropuerto”</w:t>
      </w:r>
      <w:r w:rsidRPr="004F7856">
        <w:rPr>
          <w:rFonts w:ascii="Work Sans" w:hAnsi="Work Sans" w:cs="Arial"/>
          <w:kern w:val="0"/>
          <w:sz w:val="20"/>
          <w:szCs w:val="20"/>
          <w:lang w:val="es-CO" w:eastAsia="en-US" w:bidi="ar-SA"/>
        </w:rPr>
        <w:t xml:space="preserve"> modificado por el artículo 1 de la Resolución 003878 del 28 de agosto de 2006, expedidas por el Ministerio de Transporte, se ordenó al Instituto Nacional de Vías INVIAS el traslado de la caseta de peaje denominada Cano, localizada en el PR 35+000 en la vía Pasto – Chachagüí – Popayán, al PR 13+050 de la misma vía, en el sitio ubicado después de la intersección a Buesaco, en el marco del proyecto de concesión Rumichaca – Pasto – Chachagüí – Aeropuerto, cuyo proceso de contratación se adelantaba para la época de emisión de la Resolución.</w:t>
      </w:r>
    </w:p>
    <w:p w14:paraId="0D02F771" w14:textId="77777777" w:rsidR="00945C51" w:rsidRPr="004F7856" w:rsidRDefault="00945C51">
      <w:pPr>
        <w:widowControl/>
        <w:ind w:right="49"/>
        <w:jc w:val="both"/>
        <w:textAlignment w:val="auto"/>
        <w:rPr>
          <w:rFonts w:ascii="Work Sans" w:hAnsi="Work Sans" w:cs="Arial"/>
          <w:kern w:val="0"/>
          <w:sz w:val="20"/>
          <w:szCs w:val="20"/>
          <w:lang w:val="es-CO" w:eastAsia="en-US" w:bidi="ar-SA"/>
        </w:rPr>
      </w:pPr>
    </w:p>
    <w:p w14:paraId="45DB6BB0" w14:textId="77777777" w:rsidR="00C20C98" w:rsidRPr="004F7856" w:rsidRDefault="00BC27F7">
      <w:pPr>
        <w:jc w:val="both"/>
        <w:rPr>
          <w:rFonts w:ascii="Work Sans" w:hAnsi="Work Sans"/>
          <w:sz w:val="20"/>
          <w:szCs w:val="20"/>
          <w:lang w:val="es-MX"/>
        </w:rPr>
      </w:pPr>
      <w:r w:rsidRPr="004F7856">
        <w:rPr>
          <w:rFonts w:ascii="Work Sans" w:hAnsi="Work Sans" w:cs="Arial"/>
          <w:kern w:val="0"/>
          <w:sz w:val="20"/>
          <w:szCs w:val="20"/>
          <w:lang w:val="es-CO" w:eastAsia="en-US" w:bidi="ar-SA"/>
        </w:rPr>
        <w:t>Que e</w:t>
      </w:r>
      <w:r w:rsidR="000F07F6" w:rsidRPr="004F7856">
        <w:rPr>
          <w:rFonts w:ascii="Work Sans" w:hAnsi="Work Sans" w:cs="Arial"/>
          <w:kern w:val="0"/>
          <w:sz w:val="20"/>
          <w:szCs w:val="20"/>
          <w:lang w:val="es-CO" w:eastAsia="en-US" w:bidi="ar-SA"/>
        </w:rPr>
        <w:t xml:space="preserve">l Ministerio de Transporte mediante </w:t>
      </w:r>
      <w:r w:rsidRPr="004F7856">
        <w:rPr>
          <w:rFonts w:ascii="Work Sans" w:hAnsi="Work Sans" w:cs="Arial"/>
          <w:kern w:val="0"/>
          <w:sz w:val="20"/>
          <w:szCs w:val="20"/>
          <w:lang w:val="es-CO" w:eastAsia="en-US" w:bidi="ar-SA"/>
        </w:rPr>
        <w:t xml:space="preserve"> la </w:t>
      </w:r>
      <w:r w:rsidR="000F07F6" w:rsidRPr="004F7856">
        <w:rPr>
          <w:rFonts w:ascii="Work Sans" w:hAnsi="Work Sans" w:cs="Arial"/>
          <w:kern w:val="0"/>
          <w:sz w:val="20"/>
          <w:szCs w:val="20"/>
          <w:lang w:val="es-CO" w:eastAsia="en-US" w:bidi="ar-SA"/>
        </w:rPr>
        <w:t>Resolución número 001521 del 22 de abril de 2008</w:t>
      </w:r>
      <w:r w:rsidR="00945C51" w:rsidRPr="004F7856">
        <w:rPr>
          <w:rFonts w:ascii="Work Sans" w:hAnsi="Work Sans" w:cs="Arial"/>
          <w:kern w:val="0"/>
          <w:sz w:val="20"/>
          <w:szCs w:val="20"/>
          <w:lang w:val="es-CO" w:eastAsia="en-US" w:bidi="ar-SA"/>
        </w:rPr>
        <w:t xml:space="preserve"> </w:t>
      </w:r>
      <w:r w:rsidR="00945C51" w:rsidRPr="004F7856">
        <w:rPr>
          <w:rFonts w:ascii="Work Sans" w:hAnsi="Work Sans" w:cs="Times New Roman"/>
          <w:i/>
          <w:sz w:val="20"/>
          <w:szCs w:val="20"/>
          <w:lang w:val="es-MX" w:eastAsia="es-CO"/>
        </w:rPr>
        <w:t>“por la cual se modifica y adiciona la </w:t>
      </w:r>
      <w:hyperlink r:id="rId9" w:tooltip="Haga clic para abrir TODO el Resolución número 2253 del 31 de mayo de 2006" w:history="1">
        <w:r w:rsidR="00945C51" w:rsidRPr="004F7856">
          <w:rPr>
            <w:rFonts w:ascii="Work Sans" w:hAnsi="Work Sans" w:cs="Times New Roman"/>
            <w:i/>
            <w:sz w:val="20"/>
            <w:szCs w:val="20"/>
            <w:lang w:val="es-MX" w:eastAsia="es-CO"/>
          </w:rPr>
          <w:t>Resolución número 2253 del 31 de mayo de 2006</w:t>
        </w:r>
      </w:hyperlink>
      <w:r w:rsidR="00945C51" w:rsidRPr="004F7856">
        <w:rPr>
          <w:rFonts w:ascii="Work Sans" w:hAnsi="Work Sans" w:cs="Times New Roman"/>
          <w:i/>
          <w:sz w:val="20"/>
          <w:szCs w:val="20"/>
          <w:lang w:val="es-MX" w:eastAsia="es-CO"/>
        </w:rPr>
        <w:t xml:space="preserve"> y se ordena la apertura de una Estación de Peaje para control del cobro de vehículos en el sitio llamado Cano, se ordena la entrega y recibo de la infraestructura vial y se establece una distribución de la tarifa de peaje al Sistema de cobros de las estaciones de peaje en el sitio de Daza y Cano del contrato de concesión número 003 de diciembre de 2006 de la concesión denominada </w:t>
      </w:r>
      <w:r w:rsidR="00945C51" w:rsidRPr="004F7856">
        <w:rPr>
          <w:rFonts w:ascii="Work Sans" w:hAnsi="Work Sans" w:cs="Times New Roman"/>
          <w:i/>
          <w:sz w:val="20"/>
          <w:szCs w:val="20"/>
          <w:lang w:val="es-MX" w:eastAsia="es-CO"/>
        </w:rPr>
        <w:lastRenderedPageBreak/>
        <w:t>“Rumichaca-Pasto-Chachagüí-Aeropuerto”</w:t>
      </w:r>
      <w:r w:rsidRPr="004F7856">
        <w:rPr>
          <w:rFonts w:ascii="Work Sans" w:hAnsi="Work Sans"/>
          <w:sz w:val="20"/>
          <w:szCs w:val="20"/>
          <w:lang w:val="es-MX"/>
        </w:rPr>
        <w:t xml:space="preserve"> ordenó al </w:t>
      </w:r>
      <w:r w:rsidR="000F07F6" w:rsidRPr="004F7856">
        <w:rPr>
          <w:rFonts w:ascii="Work Sans" w:hAnsi="Work Sans"/>
          <w:sz w:val="20"/>
          <w:szCs w:val="20"/>
          <w:lang w:val="es-MX"/>
        </w:rPr>
        <w:t>I</w:t>
      </w:r>
      <w:r w:rsidRPr="004F7856">
        <w:rPr>
          <w:rFonts w:ascii="Work Sans" w:hAnsi="Work Sans"/>
          <w:sz w:val="20"/>
          <w:szCs w:val="20"/>
          <w:lang w:val="es-MX"/>
        </w:rPr>
        <w:t>nstituto Nacional de Concesiones - INCO la instalación temporal e inmediata de una estación de recaudo del peaje complemento a la estación de peaje de Daza, en el sitio ubicado en el PR 36+000 en las instalaciones administrativas de las estaciones de Pesaje, con el propósito que se pueda implementar un sitio de recaudo y de control, para que el concesionario pueda cobrar el valor complementario de la tarifa a los vehículos de categorías I y II producida por la diferencia que se cause entre la tarifa real cobrada en el peaje de Daza y la tarifa completa estipulada en el contrato de Concesión y en el artículo 2° de la </w:t>
      </w:r>
      <w:hyperlink r:id="rId10" w:tooltip="Haga clic para abrir TODO el Resolución número 2253 del 31 de mayo de 2006" w:history="1">
        <w:r w:rsidRPr="004F7856">
          <w:rPr>
            <w:rStyle w:val="Hipervnculo"/>
            <w:rFonts w:ascii="Work Sans" w:hAnsi="Work Sans" w:cs="Lohit Devanagari"/>
            <w:color w:val="auto"/>
            <w:sz w:val="20"/>
            <w:szCs w:val="20"/>
            <w:u w:val="none"/>
            <w:lang w:val="es-MX"/>
          </w:rPr>
          <w:t>Resolución número 2253 del 31 de mayo de 2006</w:t>
        </w:r>
      </w:hyperlink>
      <w:r w:rsidRPr="004F7856">
        <w:rPr>
          <w:rFonts w:ascii="Work Sans" w:hAnsi="Work Sans"/>
          <w:sz w:val="20"/>
          <w:szCs w:val="20"/>
          <w:lang w:val="es-MX"/>
        </w:rPr>
        <w:t> en donde se establecen las tarifas máximas para las diferentes categorías y clasificación de vehículos.</w:t>
      </w:r>
    </w:p>
    <w:p w14:paraId="0DBF1D47" w14:textId="77777777" w:rsidR="00945C51" w:rsidRPr="004F7856" w:rsidRDefault="00945C51">
      <w:pPr>
        <w:jc w:val="both"/>
        <w:rPr>
          <w:rFonts w:ascii="Work Sans" w:hAnsi="Work Sans"/>
          <w:sz w:val="20"/>
          <w:szCs w:val="20"/>
          <w:lang w:val="es-MX"/>
        </w:rPr>
      </w:pPr>
    </w:p>
    <w:p w14:paraId="77D2D434" w14:textId="77777777" w:rsidR="0079421A" w:rsidRPr="004F7856" w:rsidRDefault="0043253F" w:rsidP="0079421A">
      <w:pPr>
        <w:jc w:val="both"/>
        <w:rPr>
          <w:rFonts w:ascii="Work Sans" w:hAnsi="Work Sans" w:cs="Times New Roman"/>
          <w:sz w:val="20"/>
          <w:szCs w:val="20"/>
          <w:lang w:eastAsia="es-CO"/>
        </w:rPr>
      </w:pPr>
      <w:r w:rsidRPr="004F7856">
        <w:rPr>
          <w:rFonts w:ascii="Work Sans" w:hAnsi="Work Sans" w:cs="Arial"/>
          <w:sz w:val="20"/>
          <w:szCs w:val="20"/>
          <w:lang w:eastAsia="en-US"/>
        </w:rPr>
        <w:t>Que mediante</w:t>
      </w:r>
      <w:r w:rsidR="0079421A" w:rsidRPr="004F7856">
        <w:rPr>
          <w:rFonts w:ascii="Work Sans" w:hAnsi="Work Sans" w:cs="Arial"/>
          <w:sz w:val="20"/>
          <w:szCs w:val="20"/>
          <w:lang w:eastAsia="en-US"/>
        </w:rPr>
        <w:t xml:space="preserve"> </w:t>
      </w:r>
      <w:r w:rsidR="00BC27F7" w:rsidRPr="004F7856">
        <w:rPr>
          <w:rFonts w:ascii="Work Sans" w:hAnsi="Work Sans" w:cs="Arial"/>
          <w:sz w:val="20"/>
          <w:szCs w:val="20"/>
          <w:lang w:eastAsia="en-US"/>
        </w:rPr>
        <w:t xml:space="preserve">la Resolución número 0001129 del 28 de abril de </w:t>
      </w:r>
      <w:r w:rsidR="00BC27F7" w:rsidRPr="004F7856">
        <w:rPr>
          <w:rFonts w:ascii="Work Sans" w:hAnsi="Work Sans" w:cs="Arial"/>
          <w:i/>
          <w:sz w:val="20"/>
          <w:szCs w:val="20"/>
          <w:lang w:eastAsia="en-US"/>
        </w:rPr>
        <w:t>2015</w:t>
      </w:r>
      <w:r w:rsidR="00945C51" w:rsidRPr="004F7856">
        <w:rPr>
          <w:rFonts w:ascii="Work Sans" w:hAnsi="Work Sans" w:cs="Arial"/>
          <w:i/>
          <w:sz w:val="20"/>
          <w:szCs w:val="20"/>
          <w:lang w:eastAsia="en-US"/>
        </w:rPr>
        <w:t xml:space="preserve"> “</w:t>
      </w:r>
      <w:r w:rsidR="00945C51" w:rsidRPr="004F7856">
        <w:rPr>
          <w:rFonts w:ascii="Work Sans" w:hAnsi="Work Sans" w:cs="Times New Roman"/>
          <w:i/>
          <w:sz w:val="20"/>
          <w:szCs w:val="20"/>
          <w:lang w:eastAsia="es-CO"/>
        </w:rPr>
        <w:t>por la cual se reorganizan y redistribuyen las Tarifas de las Estaciones de Peaje Daza y su Estación Complementaria Cano, ubicadas actualmente en el tramo vial Pasto-Chachagüí-Aeropuerto”</w:t>
      </w:r>
      <w:r w:rsidR="00945C51" w:rsidRPr="004F7856">
        <w:rPr>
          <w:rFonts w:ascii="Work Sans" w:hAnsi="Work Sans" w:cs="Arial"/>
          <w:sz w:val="20"/>
          <w:szCs w:val="20"/>
          <w:lang w:eastAsia="en-US"/>
        </w:rPr>
        <w:t xml:space="preserve"> </w:t>
      </w:r>
      <w:r w:rsidR="00BC27F7" w:rsidRPr="004F7856">
        <w:rPr>
          <w:rFonts w:ascii="Work Sans" w:hAnsi="Work Sans" w:cs="Arial"/>
          <w:sz w:val="20"/>
          <w:szCs w:val="20"/>
          <w:lang w:eastAsia="en-US"/>
        </w:rPr>
        <w:t>se determinó que</w:t>
      </w:r>
      <w:r w:rsidR="00BC27F7" w:rsidRPr="004F7856">
        <w:rPr>
          <w:rFonts w:ascii="Work Sans" w:hAnsi="Work Sans"/>
          <w:sz w:val="20"/>
          <w:szCs w:val="20"/>
        </w:rPr>
        <w:t xml:space="preserve"> hasta tanto no se conciba y estructure la nueva concesión Pasto-Popayán, y en aras de permitir a los usuarios de la vía, particularmente a la comunidad del municipio de Chachagüí, condiciones justas para el tránsito por la vía, es necesario reorganizar las tarifas de la Estación de Peaje Daza y su Estación Complementaria Cano, </w:t>
      </w:r>
      <w:r w:rsidR="0079421A" w:rsidRPr="004F7856">
        <w:rPr>
          <w:rFonts w:ascii="Work Sans" w:hAnsi="Work Sans"/>
          <w:sz w:val="20"/>
          <w:szCs w:val="20"/>
        </w:rPr>
        <w:t xml:space="preserve">para el efecto se </w:t>
      </w:r>
      <w:r w:rsidR="0079421A" w:rsidRPr="004F7856">
        <w:rPr>
          <w:rFonts w:ascii="Work Sans" w:hAnsi="Work Sans" w:cs="Arial"/>
          <w:sz w:val="20"/>
          <w:szCs w:val="20"/>
          <w:lang w:eastAsia="en-US"/>
        </w:rPr>
        <w:t>señaló</w:t>
      </w:r>
      <w:r w:rsidR="00BC27F7" w:rsidRPr="004F7856">
        <w:rPr>
          <w:rFonts w:ascii="Work Sans" w:hAnsi="Work Sans" w:cs="Arial"/>
          <w:sz w:val="20"/>
          <w:szCs w:val="20"/>
          <w:lang w:eastAsia="en-US"/>
        </w:rPr>
        <w:t xml:space="preserve"> en los parágrafos 1 y 2 del artículo 1 del referido acto administrativo que en la estación de p</w:t>
      </w:r>
      <w:r w:rsidR="0079421A" w:rsidRPr="004F7856">
        <w:rPr>
          <w:rFonts w:ascii="Work Sans" w:hAnsi="Work Sans" w:cs="Arial"/>
          <w:sz w:val="20"/>
          <w:szCs w:val="20"/>
          <w:lang w:eastAsia="en-US"/>
        </w:rPr>
        <w:t>eaje “Daza”</w:t>
      </w:r>
      <w:r w:rsidR="0079421A" w:rsidRPr="004F7856">
        <w:rPr>
          <w:rFonts w:ascii="Work Sans" w:hAnsi="Work Sans" w:cs="Times New Roman"/>
          <w:sz w:val="20"/>
          <w:szCs w:val="20"/>
          <w:lang w:eastAsia="es-CO"/>
        </w:rPr>
        <w:t xml:space="preserve"> se efectuará el cobro de las tarifas plenas correspondientes a la Catego</w:t>
      </w:r>
      <w:r w:rsidR="00631495">
        <w:rPr>
          <w:rFonts w:ascii="Work Sans" w:hAnsi="Work Sans" w:cs="Times New Roman"/>
          <w:sz w:val="20"/>
          <w:szCs w:val="20"/>
          <w:lang w:eastAsia="es-CO"/>
        </w:rPr>
        <w:t>ría III, Categoría IV y</w:t>
      </w:r>
      <w:r w:rsidR="0079421A" w:rsidRPr="004F7856">
        <w:rPr>
          <w:rFonts w:ascii="Work Sans" w:hAnsi="Work Sans" w:cs="Times New Roman"/>
          <w:sz w:val="20"/>
          <w:szCs w:val="20"/>
          <w:lang w:eastAsia="es-CO"/>
        </w:rPr>
        <w:t xml:space="preserve"> V, vehículos de más de seis ejes, ejes remolque y ejes grúa y e</w:t>
      </w:r>
      <w:r w:rsidR="00D85059" w:rsidRPr="004F7856">
        <w:rPr>
          <w:rFonts w:ascii="Work Sans" w:hAnsi="Work Sans" w:cs="Times New Roman"/>
          <w:sz w:val="20"/>
          <w:szCs w:val="20"/>
          <w:lang w:eastAsia="es-CO"/>
        </w:rPr>
        <w:t>n la estación c</w:t>
      </w:r>
      <w:r w:rsidR="0079421A" w:rsidRPr="004F7856">
        <w:rPr>
          <w:rFonts w:ascii="Work Sans" w:hAnsi="Work Sans" w:cs="Times New Roman"/>
          <w:sz w:val="20"/>
          <w:szCs w:val="20"/>
          <w:lang w:eastAsia="es-CO"/>
        </w:rPr>
        <w:t>omplementaria Cano se efectuará el cobro de las tarifas plenas correspondientes a la Categoría I (automóviles, camperos, camionetas) y a la Categoría II (buses, busetas, microbuses con eje trasero doble y camiones de dos ejes).</w:t>
      </w:r>
    </w:p>
    <w:p w14:paraId="6E23BD8F" w14:textId="77777777" w:rsidR="00945C51" w:rsidRPr="004F7856" w:rsidRDefault="00945C51" w:rsidP="0079421A">
      <w:pPr>
        <w:jc w:val="both"/>
        <w:rPr>
          <w:rFonts w:ascii="Work Sans" w:hAnsi="Work Sans" w:cs="Times New Roman"/>
          <w:sz w:val="20"/>
          <w:szCs w:val="20"/>
          <w:lang w:eastAsia="es-CO"/>
        </w:rPr>
      </w:pPr>
    </w:p>
    <w:p w14:paraId="6C2BFBBA" w14:textId="77777777" w:rsidR="00D915B6" w:rsidRPr="004F7856" w:rsidRDefault="00D915B6" w:rsidP="00D915B6">
      <w:pPr>
        <w:jc w:val="both"/>
        <w:rPr>
          <w:rFonts w:ascii="Work Sans" w:hAnsi="Work Sans" w:cs="Times New Roman"/>
          <w:sz w:val="20"/>
          <w:szCs w:val="20"/>
          <w:lang w:eastAsia="es-CO"/>
        </w:rPr>
      </w:pPr>
      <w:r w:rsidRPr="004F7856">
        <w:rPr>
          <w:rFonts w:ascii="Work Sans" w:hAnsi="Work Sans" w:cs="Times New Roman"/>
          <w:sz w:val="20"/>
          <w:szCs w:val="20"/>
          <w:lang w:eastAsia="es-CO"/>
        </w:rPr>
        <w:t>Que de conformidad con lo establecido en</w:t>
      </w:r>
      <w:r w:rsidR="00945C51" w:rsidRPr="004F7856">
        <w:rPr>
          <w:rFonts w:ascii="Work Sans" w:hAnsi="Work Sans" w:cs="Times New Roman"/>
          <w:sz w:val="20"/>
          <w:szCs w:val="20"/>
          <w:lang w:eastAsia="es-CO"/>
        </w:rPr>
        <w:t xml:space="preserve"> la R</w:t>
      </w:r>
      <w:r w:rsidRPr="004F7856">
        <w:rPr>
          <w:rFonts w:ascii="Work Sans" w:hAnsi="Work Sans" w:cs="Times New Roman"/>
          <w:sz w:val="20"/>
          <w:szCs w:val="20"/>
          <w:lang w:eastAsia="es-CO"/>
        </w:rPr>
        <w:t>esolución 1227 del 5 de mayo de 2015</w:t>
      </w:r>
      <w:r w:rsidRPr="004F7856">
        <w:rPr>
          <w:rFonts w:ascii="Work Sans" w:hAnsi="Work Sans" w:cs="Times New Roman"/>
          <w:i/>
          <w:sz w:val="20"/>
          <w:szCs w:val="20"/>
          <w:lang w:eastAsia="es-CO"/>
        </w:rPr>
        <w:t>, “</w:t>
      </w:r>
      <w:r w:rsidR="0079421A" w:rsidRPr="004F7856">
        <w:rPr>
          <w:rFonts w:ascii="Work Sans" w:hAnsi="Work Sans" w:cs="Times New Roman"/>
          <w:i/>
          <w:sz w:val="20"/>
          <w:szCs w:val="20"/>
          <w:lang w:eastAsia="es-CO"/>
        </w:rPr>
        <w:t> </w:t>
      </w:r>
      <w:r w:rsidRPr="004F7856">
        <w:rPr>
          <w:rFonts w:ascii="Work Sans" w:hAnsi="Work Sans" w:cs="Times New Roman"/>
          <w:i/>
          <w:sz w:val="20"/>
          <w:szCs w:val="20"/>
          <w:lang w:eastAsia="es-CO"/>
        </w:rPr>
        <w:t xml:space="preserve">por la cual se asigna sector de influencia, cobertura y se fijan las tarifas de peaje que cobrará el Instituto Nacional de Vías (Invías) en las estaciones de peaje El Placer, Daza y su estación complementaria Cano, ubicadas en el tramo vial Rumichaca-Pasto- Cano” </w:t>
      </w:r>
      <w:r w:rsidR="00945C51" w:rsidRPr="004F7856">
        <w:rPr>
          <w:rFonts w:ascii="Work Sans" w:hAnsi="Work Sans" w:cs="Times New Roman"/>
          <w:sz w:val="20"/>
          <w:szCs w:val="20"/>
          <w:lang w:eastAsia="es-CO"/>
        </w:rPr>
        <w:t>la</w:t>
      </w:r>
      <w:r w:rsidRPr="004F7856">
        <w:rPr>
          <w:rFonts w:ascii="Work Sans" w:hAnsi="Work Sans" w:cs="Times New Roman"/>
          <w:sz w:val="20"/>
          <w:szCs w:val="20"/>
          <w:lang w:eastAsia="es-CO"/>
        </w:rPr>
        <w:t xml:space="preserve"> estación de peaje Cano </w:t>
      </w:r>
      <w:r w:rsidR="00945C51" w:rsidRPr="004F7856">
        <w:rPr>
          <w:rFonts w:ascii="Work Sans" w:hAnsi="Work Sans" w:cs="Times New Roman"/>
          <w:sz w:val="20"/>
          <w:szCs w:val="20"/>
          <w:lang w:eastAsia="es-CO"/>
        </w:rPr>
        <w:t>está</w:t>
      </w:r>
      <w:r w:rsidRPr="004F7856">
        <w:rPr>
          <w:rFonts w:ascii="Work Sans" w:hAnsi="Work Sans" w:cs="Times New Roman"/>
          <w:sz w:val="20"/>
          <w:szCs w:val="20"/>
          <w:lang w:eastAsia="es-CO"/>
        </w:rPr>
        <w:t xml:space="preserve"> ubicada en el PR 36 </w:t>
      </w:r>
      <w:r w:rsidR="00945C51" w:rsidRPr="004F7856">
        <w:rPr>
          <w:rFonts w:ascii="Work Sans" w:hAnsi="Work Sans" w:cs="Times New Roman"/>
          <w:sz w:val="20"/>
          <w:szCs w:val="20"/>
          <w:lang w:eastAsia="es-CO"/>
        </w:rPr>
        <w:t>+ 000 y la estación de peaje Daza en el PR 14+0400.</w:t>
      </w:r>
    </w:p>
    <w:p w14:paraId="6E64F43F" w14:textId="77777777" w:rsidR="00D915B6" w:rsidRPr="004F7856" w:rsidRDefault="00D915B6" w:rsidP="00D915B6">
      <w:pPr>
        <w:jc w:val="both"/>
        <w:rPr>
          <w:rFonts w:ascii="Work Sans" w:hAnsi="Work Sans" w:cs="Times New Roman"/>
          <w:sz w:val="20"/>
          <w:szCs w:val="20"/>
          <w:lang w:eastAsia="es-CO"/>
        </w:rPr>
      </w:pPr>
    </w:p>
    <w:p w14:paraId="31FB0176" w14:textId="77777777" w:rsidR="00C20C98" w:rsidRPr="004F7856" w:rsidRDefault="00E312C5">
      <w:pPr>
        <w:widowControl/>
        <w:autoSpaceDE w:val="0"/>
        <w:jc w:val="both"/>
        <w:rPr>
          <w:rFonts w:ascii="Work Sans" w:eastAsia="DengXian Light" w:hAnsi="Work Sans" w:cs="Arial"/>
          <w:sz w:val="21"/>
          <w:szCs w:val="21"/>
          <w:lang w:bidi="ar-SA"/>
        </w:rPr>
      </w:pPr>
      <w:r w:rsidRPr="004F7856">
        <w:rPr>
          <w:rFonts w:ascii="Work Sans" w:hAnsi="Work Sans" w:cs="Arial"/>
          <w:kern w:val="0"/>
          <w:sz w:val="20"/>
          <w:szCs w:val="20"/>
          <w:lang w:val="es-CO" w:eastAsia="en-US" w:bidi="ar-SA"/>
        </w:rPr>
        <w:t>Q</w:t>
      </w:r>
      <w:r w:rsidR="00BC27F7" w:rsidRPr="004F7856">
        <w:rPr>
          <w:rFonts w:ascii="Work Sans" w:hAnsi="Work Sans" w:cs="Arial"/>
          <w:kern w:val="0"/>
          <w:sz w:val="20"/>
          <w:szCs w:val="20"/>
          <w:lang w:val="es-CO" w:eastAsia="en-US" w:bidi="ar-SA"/>
        </w:rPr>
        <w:t>ue mediante oficio DG 4752 del 8 de febrero de 2021, radicado en el Ministerio de Transporte bajo el número 20213030292322 del 12 de febrero de 2021, el Instituto Nacional de Vías - INVIAS solicit</w:t>
      </w:r>
      <w:r w:rsidR="006C0ECE" w:rsidRPr="004F7856">
        <w:rPr>
          <w:rFonts w:ascii="Work Sans" w:hAnsi="Work Sans" w:cs="Arial"/>
          <w:kern w:val="0"/>
          <w:sz w:val="20"/>
          <w:szCs w:val="20"/>
          <w:lang w:val="es-CO" w:eastAsia="en-US" w:bidi="ar-SA"/>
        </w:rPr>
        <w:t xml:space="preserve">a la expedición del presente acto administrativo con el fin de </w:t>
      </w:r>
      <w:r w:rsidR="00BC27F7" w:rsidRPr="004F7856">
        <w:rPr>
          <w:rFonts w:ascii="Work Sans" w:hAnsi="Work Sans" w:cs="Arial"/>
          <w:kern w:val="0"/>
          <w:sz w:val="20"/>
          <w:szCs w:val="20"/>
          <w:lang w:val="es-CO" w:eastAsia="en-US" w:bidi="ar-SA"/>
        </w:rPr>
        <w:t>unifica</w:t>
      </w:r>
      <w:r w:rsidR="006C0ECE" w:rsidRPr="004F7856">
        <w:rPr>
          <w:rFonts w:ascii="Work Sans" w:hAnsi="Work Sans" w:cs="Arial"/>
          <w:kern w:val="0"/>
          <w:sz w:val="20"/>
          <w:szCs w:val="20"/>
          <w:lang w:val="es-CO" w:eastAsia="en-US" w:bidi="ar-SA"/>
        </w:rPr>
        <w:t xml:space="preserve">r </w:t>
      </w:r>
      <w:r w:rsidR="00BC27F7" w:rsidRPr="004F7856">
        <w:rPr>
          <w:rFonts w:ascii="Work Sans" w:hAnsi="Work Sans" w:cs="Arial"/>
          <w:kern w:val="0"/>
          <w:sz w:val="20"/>
          <w:szCs w:val="20"/>
          <w:lang w:val="es-CO" w:eastAsia="en-US" w:bidi="ar-SA"/>
        </w:rPr>
        <w:t xml:space="preserve">las estaciones de peaje denominadas Daza y Cano, </w:t>
      </w:r>
      <w:r w:rsidR="006C0ECE" w:rsidRPr="004F7856">
        <w:rPr>
          <w:rFonts w:ascii="Work Sans" w:hAnsi="Work Sans" w:cs="Arial"/>
          <w:kern w:val="0"/>
          <w:sz w:val="20"/>
          <w:szCs w:val="20"/>
          <w:lang w:val="es-CO" w:eastAsia="en-US" w:bidi="ar-SA"/>
        </w:rPr>
        <w:t xml:space="preserve">de tal forma que solo se realice el recaudo de peaje en  </w:t>
      </w:r>
      <w:r w:rsidR="00BC27F7" w:rsidRPr="004F7856">
        <w:rPr>
          <w:rFonts w:ascii="Work Sans" w:hAnsi="Work Sans" w:cs="Arial"/>
          <w:kern w:val="0"/>
          <w:sz w:val="20"/>
          <w:szCs w:val="20"/>
          <w:lang w:val="es-CO" w:eastAsia="en-US" w:bidi="ar-SA"/>
        </w:rPr>
        <w:t>la estación Cano</w:t>
      </w:r>
      <w:r w:rsidR="006C0ECE" w:rsidRPr="004F7856">
        <w:rPr>
          <w:rFonts w:ascii="Work Sans" w:hAnsi="Work Sans" w:cs="Arial"/>
          <w:kern w:val="0"/>
          <w:sz w:val="20"/>
          <w:szCs w:val="20"/>
          <w:lang w:val="es-CO" w:eastAsia="en-US" w:bidi="ar-SA"/>
        </w:rPr>
        <w:t xml:space="preserve"> ubicada en el PR36+000</w:t>
      </w:r>
      <w:r w:rsidR="00BC27F7" w:rsidRPr="004F7856">
        <w:rPr>
          <w:rFonts w:ascii="Work Sans" w:hAnsi="Work Sans" w:cs="Arial"/>
          <w:kern w:val="0"/>
          <w:sz w:val="20"/>
          <w:szCs w:val="20"/>
          <w:lang w:val="es-CO" w:eastAsia="en-US" w:bidi="ar-SA"/>
        </w:rPr>
        <w:t xml:space="preserve">, </w:t>
      </w:r>
      <w:r w:rsidR="00BC27F7" w:rsidRPr="004F7856">
        <w:rPr>
          <w:rFonts w:ascii="Work Sans" w:hAnsi="Work Sans" w:cs="Arial"/>
          <w:sz w:val="20"/>
          <w:szCs w:val="20"/>
        </w:rPr>
        <w:t>con fundamento en lo siguiente:</w:t>
      </w:r>
      <w:r w:rsidR="00BC27F7" w:rsidRPr="004F7856">
        <w:rPr>
          <w:rFonts w:ascii="Work Sans" w:eastAsia="DengXian Light" w:hAnsi="Work Sans" w:cs="Arial"/>
          <w:sz w:val="21"/>
          <w:szCs w:val="21"/>
          <w:lang w:bidi="ar-SA"/>
        </w:rPr>
        <w:t xml:space="preserve"> </w:t>
      </w:r>
    </w:p>
    <w:p w14:paraId="0573C6FD" w14:textId="77777777" w:rsidR="00BA2BF7" w:rsidRPr="004F7856" w:rsidRDefault="00BA2BF7">
      <w:pPr>
        <w:widowControl/>
        <w:autoSpaceDE w:val="0"/>
        <w:jc w:val="both"/>
        <w:rPr>
          <w:rFonts w:ascii="Work Sans" w:eastAsia="DengXian Light" w:hAnsi="Work Sans" w:cs="Arial"/>
          <w:sz w:val="21"/>
          <w:szCs w:val="21"/>
          <w:lang w:bidi="ar-SA"/>
        </w:rPr>
      </w:pPr>
    </w:p>
    <w:p w14:paraId="45A59773" w14:textId="77777777" w:rsidR="00BA2BF7" w:rsidRPr="004F7856" w:rsidRDefault="00BA2BF7" w:rsidP="00BA2BF7">
      <w:pPr>
        <w:widowControl/>
        <w:autoSpaceDE w:val="0"/>
        <w:ind w:left="567"/>
        <w:jc w:val="both"/>
        <w:rPr>
          <w:rFonts w:ascii="Work Sans" w:hAnsi="Work Sans" w:cs="ArialNarrow"/>
          <w:i/>
          <w:sz w:val="20"/>
          <w:szCs w:val="20"/>
        </w:rPr>
      </w:pPr>
      <w:r w:rsidRPr="004F7856">
        <w:rPr>
          <w:rFonts w:ascii="Work Sans" w:eastAsia="DengXian Light" w:hAnsi="Work Sans" w:cs="Arial"/>
          <w:sz w:val="21"/>
          <w:szCs w:val="21"/>
          <w:lang w:bidi="ar-SA"/>
        </w:rPr>
        <w:t>“…</w:t>
      </w:r>
    </w:p>
    <w:p w14:paraId="7CAFF1D0" w14:textId="77777777" w:rsidR="00BA2BF7" w:rsidRPr="004F7856" w:rsidRDefault="00BA2BF7" w:rsidP="00BA2BF7">
      <w:pPr>
        <w:autoSpaceDE w:val="0"/>
        <w:adjustRightInd w:val="0"/>
        <w:ind w:left="567" w:right="567"/>
        <w:jc w:val="both"/>
        <w:rPr>
          <w:rFonts w:ascii="Work Sans" w:hAnsi="Work Sans" w:cs="ArialNarrow"/>
          <w:i/>
          <w:sz w:val="20"/>
          <w:szCs w:val="20"/>
        </w:rPr>
      </w:pPr>
      <w:r w:rsidRPr="004F7856">
        <w:rPr>
          <w:rFonts w:ascii="Work Sans" w:hAnsi="Work Sans" w:cs="ArialNarrow"/>
          <w:i/>
          <w:sz w:val="20"/>
          <w:szCs w:val="20"/>
        </w:rPr>
        <w:t>Que mediante la Resolución No. 002253 del 31 de mayo de 2006, modificada y adicionada por la Resolución No. 003878 del 28 de agosto de 2006 expedidas por el Ministerio de Transporte, se ordenó al Instituto Nacional de Vías el traslado de la caseta de peaje denominada Cano, localizada en el PR 35+000 en la vía Pasto – Chachagüí – Popayán, al PR 13+050 de la misma vía, en el sitio ubicado después de la intersección a Buesaco, en el marco del proyecto de concesión Rumichaca – Pasto –Chachagüí – Aeropuerto, cuyo proceso de contratación se adelantaba para la época de emisión de la Resolución.</w:t>
      </w:r>
    </w:p>
    <w:p w14:paraId="04DCAD01" w14:textId="77777777" w:rsidR="00BA2BF7" w:rsidRPr="004F7856" w:rsidRDefault="00BA2BF7" w:rsidP="00BA2BF7">
      <w:pPr>
        <w:autoSpaceDE w:val="0"/>
        <w:adjustRightInd w:val="0"/>
        <w:ind w:left="567" w:right="567"/>
        <w:jc w:val="both"/>
        <w:rPr>
          <w:rFonts w:ascii="Work Sans" w:hAnsi="Work Sans" w:cs="ArialNarrow"/>
          <w:i/>
          <w:sz w:val="20"/>
          <w:szCs w:val="20"/>
        </w:rPr>
      </w:pPr>
    </w:p>
    <w:p w14:paraId="20E5BD55" w14:textId="77777777" w:rsidR="00BA2BF7" w:rsidRPr="004F7856" w:rsidRDefault="00BA2BF7" w:rsidP="00BA2BF7">
      <w:pPr>
        <w:autoSpaceDE w:val="0"/>
        <w:adjustRightInd w:val="0"/>
        <w:ind w:left="567" w:right="567"/>
        <w:jc w:val="both"/>
        <w:rPr>
          <w:rFonts w:ascii="Work Sans" w:hAnsi="Work Sans" w:cs="ArialNarrow"/>
          <w:i/>
          <w:sz w:val="20"/>
          <w:szCs w:val="20"/>
        </w:rPr>
      </w:pPr>
      <w:r w:rsidRPr="004F7856">
        <w:rPr>
          <w:rFonts w:ascii="Work Sans" w:hAnsi="Work Sans" w:cs="ArialNarrow"/>
          <w:i/>
          <w:sz w:val="20"/>
          <w:szCs w:val="20"/>
        </w:rPr>
        <w:t xml:space="preserve">Que con fundamento en lo previsto en la Resolución No. 002253 del 31 de mayo de 2006 y su modificatoria No. 003878 del 28 de agosto de 2006, el </w:t>
      </w:r>
      <w:r w:rsidRPr="004F7856">
        <w:rPr>
          <w:rFonts w:ascii="Work Sans" w:hAnsi="Work Sans" w:cs="ArialNarrow"/>
          <w:i/>
          <w:sz w:val="20"/>
          <w:szCs w:val="20"/>
        </w:rPr>
        <w:lastRenderedPageBreak/>
        <w:t>Instituto Nacional de Vías contrató la construcción en forma temporal del peaje, localizado en el PR 13+050 de la carretera Pasto – Chachagüí – Aeropuerto – Mojarras, estación que se denominó “Daza”, iniciando la operación de recaudo de peaje a partir del 14 de mayo de 2007.</w:t>
      </w:r>
    </w:p>
    <w:p w14:paraId="289D21AC" w14:textId="77777777" w:rsidR="00BA2BF7" w:rsidRPr="004F7856" w:rsidRDefault="00BA2BF7" w:rsidP="00BA2BF7">
      <w:pPr>
        <w:autoSpaceDE w:val="0"/>
        <w:adjustRightInd w:val="0"/>
        <w:ind w:left="567" w:right="567"/>
        <w:jc w:val="both"/>
        <w:rPr>
          <w:rFonts w:ascii="Work Sans" w:hAnsi="Work Sans" w:cs="ArialNarrow"/>
          <w:i/>
          <w:sz w:val="20"/>
          <w:szCs w:val="20"/>
        </w:rPr>
      </w:pPr>
    </w:p>
    <w:p w14:paraId="2F219B60" w14:textId="77777777" w:rsidR="00BA2BF7" w:rsidRPr="004F7856" w:rsidRDefault="00BA2BF7" w:rsidP="00BA2BF7">
      <w:pPr>
        <w:autoSpaceDE w:val="0"/>
        <w:adjustRightInd w:val="0"/>
        <w:ind w:left="567" w:right="567"/>
        <w:jc w:val="both"/>
        <w:rPr>
          <w:rFonts w:ascii="Work Sans" w:hAnsi="Work Sans" w:cs="ArialNarrow"/>
          <w:i/>
          <w:sz w:val="20"/>
          <w:szCs w:val="20"/>
        </w:rPr>
      </w:pPr>
      <w:r w:rsidRPr="004F7856">
        <w:rPr>
          <w:rFonts w:ascii="Work Sans" w:hAnsi="Work Sans" w:cs="ArialNarrow"/>
          <w:i/>
          <w:sz w:val="20"/>
          <w:szCs w:val="20"/>
        </w:rPr>
        <w:t>Que mediante acta suscrita el 15 de mayo de 2007, el Instituto Nacional de Vías entregó al entonces Instituto Nacional de Concesiones - INCO, (hoy Agencia Nacional de Infraestructura – ANI), las carreteras Puente Internacional de Rumichaca – Ipiales – Pasto, entre los PRs 0+0015 y 83+0000, y Pasto – Chachagüí – Aeropuerto, entre los PRs 5+0000 y 32+0500, para ser afectadas en desarrollo del contrato de concesión No. 03 de 2006 en virtud del proyecto Desarrollo Vial de Nariño – DEVINAR, vías en las cuales se encontraban localizadas las estaciones de peaje El Placer y Cano, respectivamente, entrega que surtió efecto para las partes a partir del 16 de mayo de 2007.</w:t>
      </w:r>
    </w:p>
    <w:p w14:paraId="37528E30" w14:textId="77777777" w:rsidR="00BA2BF7" w:rsidRPr="004F7856" w:rsidRDefault="00BA2BF7" w:rsidP="00BA2BF7">
      <w:pPr>
        <w:autoSpaceDE w:val="0"/>
        <w:adjustRightInd w:val="0"/>
        <w:ind w:left="567" w:right="567"/>
        <w:jc w:val="both"/>
        <w:rPr>
          <w:rFonts w:ascii="Work Sans" w:hAnsi="Work Sans" w:cs="ArialNarrow"/>
          <w:i/>
          <w:sz w:val="20"/>
          <w:szCs w:val="20"/>
        </w:rPr>
      </w:pPr>
    </w:p>
    <w:p w14:paraId="752598E2" w14:textId="77777777" w:rsidR="00BA2BF7" w:rsidRPr="004F7856" w:rsidRDefault="00BA2BF7" w:rsidP="00BA2BF7">
      <w:pPr>
        <w:autoSpaceDE w:val="0"/>
        <w:adjustRightInd w:val="0"/>
        <w:ind w:left="567" w:right="567"/>
        <w:jc w:val="both"/>
        <w:rPr>
          <w:rFonts w:ascii="Work Sans" w:hAnsi="Work Sans" w:cs="ArialNarrow"/>
          <w:i/>
          <w:sz w:val="20"/>
          <w:szCs w:val="20"/>
        </w:rPr>
      </w:pPr>
      <w:r w:rsidRPr="004F7856">
        <w:rPr>
          <w:rFonts w:ascii="Work Sans" w:hAnsi="Work Sans" w:cs="ArialNarrow"/>
          <w:i/>
          <w:sz w:val="20"/>
          <w:szCs w:val="20"/>
        </w:rPr>
        <w:t>Que mediante la Resolución No. 001521 del 22 de abril de 2008, se modificó y adicionó la Resolución No. 002253 del 31 de mayo de 2006, ordenando al Instituto Nacional de Vías la entrega del tramo comprendido entre los PRs 32+500 (entrada del Aeropuerto) y 36+000 (zona de operación de pesajes) de la carretera Pasto – Chachagui – Aeropuerto – Mojarras, con el fin de que el Concesionario adelantara actividades de mantenimiento y operación de la vía e instalara una caseta de control de peaje, que sería anexa y complemento al peaje denominado “Daza”.</w:t>
      </w:r>
    </w:p>
    <w:p w14:paraId="3E6700F3" w14:textId="77777777" w:rsidR="00BA2BF7" w:rsidRPr="004F7856" w:rsidRDefault="00BA2BF7" w:rsidP="00BA2BF7">
      <w:pPr>
        <w:autoSpaceDE w:val="0"/>
        <w:adjustRightInd w:val="0"/>
        <w:ind w:left="567" w:right="567"/>
        <w:jc w:val="both"/>
        <w:rPr>
          <w:rFonts w:ascii="Work Sans" w:hAnsi="Work Sans" w:cs="ArialNarrow"/>
          <w:i/>
          <w:sz w:val="20"/>
          <w:szCs w:val="20"/>
        </w:rPr>
      </w:pPr>
    </w:p>
    <w:p w14:paraId="109C4505" w14:textId="77777777" w:rsidR="00BA2BF7" w:rsidRPr="004F7856" w:rsidRDefault="00BA2BF7" w:rsidP="00BA2BF7">
      <w:pPr>
        <w:autoSpaceDE w:val="0"/>
        <w:adjustRightInd w:val="0"/>
        <w:ind w:left="567" w:right="567"/>
        <w:jc w:val="both"/>
        <w:rPr>
          <w:rFonts w:ascii="Work Sans" w:hAnsi="Work Sans" w:cs="ArialNarrow"/>
          <w:i/>
          <w:sz w:val="20"/>
          <w:szCs w:val="20"/>
        </w:rPr>
      </w:pPr>
      <w:r w:rsidRPr="004F7856">
        <w:rPr>
          <w:rFonts w:ascii="Work Sans" w:hAnsi="Work Sans" w:cs="ArialNarrow"/>
          <w:i/>
          <w:sz w:val="20"/>
          <w:szCs w:val="20"/>
        </w:rPr>
        <w:t>Que en la mencionada resolución, se estableció que en la estación de peaje “Daza” se realizaría el recaudo de la tarifa que aplicaría para los vehículos de Categorías I y II, y en la estación de peaje Cano se pagaría el complemento hasta alcanzar el valor total de las tarifas para éstas dos (2) categorías, para los vehículos correspondientes que se desplacen haciendo su tránsito por las dos (2) estaciones mencionadas. De igual modo, se determinó en la misma Resolución que el recaudo de la tarifa del peaje para las demás categorías se realizaría en cada una de las estaciones, teniendo en cuenta el pago en un solo sentido, en cada una de ellas, definiendo dicho sentido a criterio del INCO y del Concesionario.</w:t>
      </w:r>
    </w:p>
    <w:p w14:paraId="56108304" w14:textId="77777777" w:rsidR="00BA2BF7" w:rsidRPr="004F7856" w:rsidRDefault="00BA2BF7" w:rsidP="00BA2BF7">
      <w:pPr>
        <w:autoSpaceDE w:val="0"/>
        <w:adjustRightInd w:val="0"/>
        <w:ind w:left="567" w:right="567"/>
        <w:jc w:val="both"/>
        <w:rPr>
          <w:rFonts w:ascii="Work Sans" w:hAnsi="Work Sans" w:cs="ArialNarrow"/>
          <w:i/>
          <w:sz w:val="20"/>
          <w:szCs w:val="20"/>
        </w:rPr>
      </w:pPr>
    </w:p>
    <w:p w14:paraId="527F251E" w14:textId="77777777" w:rsidR="00BA2BF7" w:rsidRPr="004F7856" w:rsidRDefault="00BA2BF7" w:rsidP="00BA2BF7">
      <w:pPr>
        <w:autoSpaceDE w:val="0"/>
        <w:adjustRightInd w:val="0"/>
        <w:ind w:left="567" w:right="567"/>
        <w:jc w:val="both"/>
        <w:rPr>
          <w:rFonts w:ascii="Work Sans" w:hAnsi="Work Sans" w:cs="ArialNarrow"/>
          <w:i/>
          <w:sz w:val="20"/>
          <w:szCs w:val="20"/>
        </w:rPr>
      </w:pPr>
      <w:r w:rsidRPr="004F7856">
        <w:rPr>
          <w:rFonts w:ascii="Work Sans" w:hAnsi="Work Sans" w:cs="ArialNarrow"/>
          <w:i/>
          <w:sz w:val="20"/>
          <w:szCs w:val="20"/>
        </w:rPr>
        <w:t>Que en virtud de la aprobación del Tribunal de Arbitramento No. 2, se pactó entre la ANI y la sociedad DEVINAR S. A. la terminación anticipada por mutuo acuerdo del contrato de concesión No. 03 de 2006, teniendo como fecha de terminación del contrato el 30 de abril de 2015, fecha a partir de la cual se iniciaría el proceso de reversión por parte de la ANI de la infraestructura vial afectada al contrato precitado y su consecuente entrega al Instituto Nacional de Vías.</w:t>
      </w:r>
    </w:p>
    <w:p w14:paraId="72BFC29E" w14:textId="77777777" w:rsidR="00BA2BF7" w:rsidRPr="004F7856" w:rsidRDefault="00BA2BF7" w:rsidP="00BA2BF7">
      <w:pPr>
        <w:autoSpaceDE w:val="0"/>
        <w:adjustRightInd w:val="0"/>
        <w:ind w:left="567" w:right="567"/>
        <w:jc w:val="both"/>
        <w:rPr>
          <w:rFonts w:ascii="Work Sans" w:hAnsi="Work Sans" w:cs="ArialNarrow"/>
          <w:i/>
          <w:sz w:val="20"/>
          <w:szCs w:val="20"/>
        </w:rPr>
      </w:pPr>
    </w:p>
    <w:p w14:paraId="419A159E" w14:textId="77777777" w:rsidR="00BA2BF7" w:rsidRPr="004F7856" w:rsidRDefault="00BA2BF7" w:rsidP="00BA2BF7">
      <w:pPr>
        <w:autoSpaceDE w:val="0"/>
        <w:adjustRightInd w:val="0"/>
        <w:ind w:left="567" w:right="567"/>
        <w:jc w:val="both"/>
        <w:rPr>
          <w:rFonts w:ascii="Work Sans" w:hAnsi="Work Sans" w:cs="ArialNarrow"/>
          <w:i/>
          <w:sz w:val="20"/>
          <w:szCs w:val="20"/>
        </w:rPr>
      </w:pPr>
      <w:r w:rsidRPr="004F7856">
        <w:rPr>
          <w:rFonts w:ascii="Work Sans" w:hAnsi="Work Sans" w:cs="ArialNarrow"/>
          <w:i/>
          <w:sz w:val="20"/>
          <w:szCs w:val="20"/>
        </w:rPr>
        <w:t xml:space="preserve">Que mediante la resolución No. 0001129 del 28 de abril de 2015, se determinó que hasta que fuera concebida y estructurada la nueva concesión del corredor Pasto – Popayán, y en aras de permitir a los usuarios de la vía, particularmente a la comunidad del municipio de Chachagüí, condiciones justas para el tránsito por la vía, serían reorganizadas las tarifas para su recaudo, estableciendo que en la estación de peaje “Daza” se efectuaría el cobro de las tarifas plenas correspondientes a las categorías II, III y IV, vehículos de más de seis (6) ejes, ejes remolques y ejes grúa, mientras que en la estación denominada “Cano” se realizaría el recaudo de las tarifas plenas correspondientes a </w:t>
      </w:r>
      <w:r w:rsidRPr="004F7856">
        <w:rPr>
          <w:rFonts w:ascii="Work Sans" w:hAnsi="Work Sans" w:cs="ArialNarrow"/>
          <w:i/>
          <w:sz w:val="20"/>
          <w:szCs w:val="20"/>
        </w:rPr>
        <w:lastRenderedPageBreak/>
        <w:t>las categorías I y II.</w:t>
      </w:r>
    </w:p>
    <w:p w14:paraId="4F3C2FBB" w14:textId="77777777" w:rsidR="00BA2BF7" w:rsidRPr="004F7856" w:rsidRDefault="00BA2BF7" w:rsidP="00BA2BF7">
      <w:pPr>
        <w:autoSpaceDE w:val="0"/>
        <w:adjustRightInd w:val="0"/>
        <w:ind w:left="567" w:right="567"/>
        <w:jc w:val="both"/>
        <w:rPr>
          <w:rFonts w:ascii="Work Sans" w:hAnsi="Work Sans" w:cs="ArialNarrow"/>
          <w:i/>
          <w:sz w:val="20"/>
          <w:szCs w:val="20"/>
        </w:rPr>
      </w:pPr>
    </w:p>
    <w:p w14:paraId="52FFF0E6" w14:textId="77777777" w:rsidR="00BA2BF7" w:rsidRPr="004F7856" w:rsidRDefault="00BA2BF7" w:rsidP="00BA2BF7">
      <w:pPr>
        <w:autoSpaceDE w:val="0"/>
        <w:adjustRightInd w:val="0"/>
        <w:ind w:left="567" w:right="567"/>
        <w:jc w:val="both"/>
        <w:rPr>
          <w:rFonts w:ascii="Work Sans" w:hAnsi="Work Sans" w:cs="ArialNarrow"/>
          <w:i/>
          <w:sz w:val="20"/>
          <w:szCs w:val="20"/>
        </w:rPr>
      </w:pPr>
      <w:r w:rsidRPr="004F7856">
        <w:rPr>
          <w:rFonts w:ascii="Work Sans" w:hAnsi="Work Sans" w:cs="ArialNarrow"/>
          <w:i/>
          <w:sz w:val="20"/>
          <w:szCs w:val="20"/>
        </w:rPr>
        <w:t>Que mediante acta suscrita el 4 de mayo de 2015, se efectuó la reversión de la Agencia Nacional de Infraestructura ANI al Instituto Nacional de Vías INVÍAS de la infraestructura vial, bienes y equipos que se encontraban afectados al contrato de concesión No. 03 de 2006, incluyendo, entre otras, las estaciones de recaudo de peaje Daza y Cano, iniciando el recaudo por parte del INVÍAS en dichas estaciones acorde con las tarifas establecidas mediante la Resolución No. 0001227 del 4 de mayo de 2015, emitida por el Ministerio de Transporte.</w:t>
      </w:r>
    </w:p>
    <w:p w14:paraId="3FC98AD6" w14:textId="77777777" w:rsidR="00BA2BF7" w:rsidRPr="004F7856" w:rsidRDefault="00BA2BF7" w:rsidP="00BA2BF7">
      <w:pPr>
        <w:autoSpaceDE w:val="0"/>
        <w:adjustRightInd w:val="0"/>
        <w:ind w:left="567" w:right="567"/>
        <w:jc w:val="both"/>
        <w:rPr>
          <w:rFonts w:ascii="Work Sans" w:hAnsi="Work Sans" w:cs="ArialNarrow"/>
          <w:i/>
          <w:sz w:val="20"/>
          <w:szCs w:val="20"/>
        </w:rPr>
      </w:pPr>
    </w:p>
    <w:p w14:paraId="31E00112" w14:textId="77777777" w:rsidR="00BA2BF7" w:rsidRPr="004F7856" w:rsidRDefault="00BA2BF7" w:rsidP="00BA2BF7">
      <w:pPr>
        <w:autoSpaceDE w:val="0"/>
        <w:adjustRightInd w:val="0"/>
        <w:ind w:left="567" w:right="567"/>
        <w:jc w:val="both"/>
        <w:rPr>
          <w:rFonts w:ascii="Work Sans" w:hAnsi="Work Sans" w:cs="ArialNarrow"/>
          <w:i/>
          <w:sz w:val="20"/>
          <w:szCs w:val="20"/>
        </w:rPr>
      </w:pPr>
      <w:r w:rsidRPr="004F7856">
        <w:rPr>
          <w:rFonts w:ascii="Work Sans" w:hAnsi="Work Sans" w:cs="ArialNarrow"/>
          <w:i/>
          <w:sz w:val="20"/>
          <w:szCs w:val="20"/>
        </w:rPr>
        <w:t>Que el señor Gobernador del Departamento de Nariño, en conjunto con las demás autoridades y gremios de transporte público de la región, han solicitado al Instituto Nacional de Vías - INVÍAS evaluar la posibilidad de unificar en la estación de peaje Cano el recaudo de peaje para todo tipo de vehículos, que actualmente se delanta en las estaciones de Daza y Cano, argumentando que la estación de Daza había sido trasladada de donde se encontraba en Cano en razón a los alcances revistos en el contrato de concesión No. 03 de 2006, con el fin de lograr la construcción de la doble calzada entre Pasto y el Aeropuerto, obra que a la postre no fue concluida ante la terminación por mutuo acuerdo del contrato señalado.</w:t>
      </w:r>
    </w:p>
    <w:p w14:paraId="7995D465" w14:textId="77777777" w:rsidR="00BA2BF7" w:rsidRPr="004F7856" w:rsidRDefault="00BA2BF7" w:rsidP="00BA2BF7">
      <w:pPr>
        <w:autoSpaceDE w:val="0"/>
        <w:adjustRightInd w:val="0"/>
        <w:ind w:left="567" w:right="567"/>
        <w:jc w:val="both"/>
        <w:rPr>
          <w:rFonts w:ascii="Work Sans" w:hAnsi="Work Sans" w:cs="ArialNarrow"/>
          <w:i/>
          <w:sz w:val="20"/>
          <w:szCs w:val="20"/>
        </w:rPr>
      </w:pPr>
    </w:p>
    <w:p w14:paraId="04022420" w14:textId="77777777" w:rsidR="00BA2BF7" w:rsidRPr="004F7856" w:rsidRDefault="00BA2BF7" w:rsidP="00BA2BF7">
      <w:pPr>
        <w:autoSpaceDE w:val="0"/>
        <w:adjustRightInd w:val="0"/>
        <w:ind w:left="567" w:right="567"/>
        <w:jc w:val="both"/>
        <w:rPr>
          <w:rFonts w:ascii="Work Sans" w:hAnsi="Work Sans" w:cs="ArialNarrow"/>
          <w:i/>
          <w:sz w:val="20"/>
          <w:szCs w:val="20"/>
        </w:rPr>
      </w:pPr>
      <w:r w:rsidRPr="004F7856">
        <w:rPr>
          <w:rFonts w:ascii="Work Sans" w:hAnsi="Work Sans" w:cs="ArialNarrow"/>
          <w:i/>
          <w:sz w:val="20"/>
          <w:szCs w:val="20"/>
        </w:rPr>
        <w:t>Que como se mencionó anteriormente mediante la resolución No. 0001129 del 28 de abril de 2015, se determinó que hasta que fuera concebida y estructurada la nueva concesión del corredor Pasto – Popayán, sería reorganizado el cobro de las tarifas de peaje en las estaciones de Daza y Cano, estructuración que no ha sido adelantada aún sin que tampoco haya sido posible culminar la construcción de la doble calzada entre Pasto y el Aeropuerto.</w:t>
      </w:r>
    </w:p>
    <w:p w14:paraId="613095CC" w14:textId="77777777" w:rsidR="00BA2BF7" w:rsidRPr="004F7856" w:rsidRDefault="00BA2BF7" w:rsidP="00BA2BF7">
      <w:pPr>
        <w:autoSpaceDE w:val="0"/>
        <w:adjustRightInd w:val="0"/>
        <w:ind w:left="567" w:right="567"/>
        <w:jc w:val="both"/>
        <w:rPr>
          <w:rFonts w:ascii="Work Sans" w:hAnsi="Work Sans" w:cs="ArialNarrow"/>
          <w:i/>
          <w:sz w:val="20"/>
          <w:szCs w:val="20"/>
        </w:rPr>
      </w:pPr>
    </w:p>
    <w:p w14:paraId="1FEF9977" w14:textId="77777777" w:rsidR="00BA2BF7" w:rsidRPr="004F7856" w:rsidRDefault="00BA2BF7" w:rsidP="00BA2BF7">
      <w:pPr>
        <w:autoSpaceDE w:val="0"/>
        <w:adjustRightInd w:val="0"/>
        <w:ind w:left="567" w:right="567"/>
        <w:jc w:val="both"/>
        <w:rPr>
          <w:rFonts w:ascii="Work Sans" w:hAnsi="Work Sans" w:cs="ArialNarrow"/>
          <w:i/>
          <w:sz w:val="20"/>
          <w:szCs w:val="20"/>
        </w:rPr>
      </w:pPr>
      <w:r w:rsidRPr="004F7856">
        <w:rPr>
          <w:rFonts w:ascii="Work Sans" w:hAnsi="Work Sans" w:cs="ArialNarrow"/>
          <w:i/>
          <w:sz w:val="20"/>
          <w:szCs w:val="20"/>
        </w:rPr>
        <w:t>Que la existencia de los dos (2) peajes en el mismo corredor vial, genera congestiones en la operación y disminución en la capacidad y en el nivel de servicio de la vía, que pueden ser superadas con la unificación del recaudo en un solo sitio en Cano, permitiendo el desplazamiento entre la ciudad de Pasto y el Aeropuerto sin limitaciones en la movilidad del sector que hoy se presentan como consecuencia de la estación de peaje Daza, toda vez que los vehículos de carga de todas las categorías deben detenerse en dicha estación para efectuar el pago del peaje.</w:t>
      </w:r>
    </w:p>
    <w:p w14:paraId="45DF225A" w14:textId="77777777" w:rsidR="00BA2BF7" w:rsidRPr="004F7856" w:rsidRDefault="00BA2BF7" w:rsidP="00BA2BF7">
      <w:pPr>
        <w:autoSpaceDE w:val="0"/>
        <w:adjustRightInd w:val="0"/>
        <w:ind w:left="567" w:right="567"/>
        <w:jc w:val="both"/>
        <w:rPr>
          <w:rFonts w:ascii="Work Sans" w:hAnsi="Work Sans" w:cs="ArialNarrow"/>
          <w:i/>
          <w:sz w:val="20"/>
          <w:szCs w:val="20"/>
        </w:rPr>
      </w:pPr>
    </w:p>
    <w:p w14:paraId="1C35B269" w14:textId="77777777" w:rsidR="00BA2BF7" w:rsidRPr="004F7856" w:rsidRDefault="00BA2BF7" w:rsidP="00BA2BF7">
      <w:pPr>
        <w:autoSpaceDE w:val="0"/>
        <w:adjustRightInd w:val="0"/>
        <w:ind w:left="567" w:right="567"/>
        <w:jc w:val="both"/>
        <w:rPr>
          <w:rFonts w:ascii="Work Sans" w:hAnsi="Work Sans" w:cs="ArialNarrow"/>
          <w:i/>
          <w:sz w:val="20"/>
          <w:szCs w:val="20"/>
        </w:rPr>
      </w:pPr>
      <w:r w:rsidRPr="004F7856">
        <w:rPr>
          <w:rFonts w:ascii="Work Sans" w:hAnsi="Work Sans" w:cs="ArialNarrow"/>
          <w:i/>
          <w:sz w:val="20"/>
          <w:szCs w:val="20"/>
        </w:rPr>
        <w:t>Que las condiciones que presenta la estación de peaje Cano, garantizan poder efectuar en ella el cobro del peaje a todas las categorías vehiculares, haciendo más eficiente la operación de recaudo contratada en beneficio de la comunidad en general, usuaria de la vía.</w:t>
      </w:r>
    </w:p>
    <w:p w14:paraId="530A2635" w14:textId="77777777" w:rsidR="00BA2BF7" w:rsidRPr="004F7856" w:rsidRDefault="00BA2BF7" w:rsidP="00BA2BF7">
      <w:pPr>
        <w:autoSpaceDE w:val="0"/>
        <w:adjustRightInd w:val="0"/>
        <w:ind w:left="567" w:right="567"/>
        <w:jc w:val="both"/>
        <w:rPr>
          <w:rFonts w:ascii="Work Sans" w:hAnsi="Work Sans" w:cs="ArialNarrow"/>
          <w:i/>
          <w:sz w:val="20"/>
          <w:szCs w:val="20"/>
        </w:rPr>
      </w:pPr>
    </w:p>
    <w:p w14:paraId="4768A4B5" w14:textId="77777777" w:rsidR="00BA2BF7" w:rsidRPr="004F7856" w:rsidRDefault="00BA2BF7" w:rsidP="00BA2BF7">
      <w:pPr>
        <w:autoSpaceDE w:val="0"/>
        <w:adjustRightInd w:val="0"/>
        <w:ind w:left="567" w:right="567"/>
        <w:jc w:val="both"/>
        <w:rPr>
          <w:rFonts w:ascii="Work Sans" w:hAnsi="Work Sans" w:cs="ArialNarrow"/>
          <w:i/>
          <w:sz w:val="20"/>
          <w:szCs w:val="20"/>
        </w:rPr>
      </w:pPr>
      <w:r w:rsidRPr="004F7856">
        <w:rPr>
          <w:rFonts w:ascii="Work Sans" w:hAnsi="Work Sans" w:cs="ArialNarrow"/>
          <w:i/>
          <w:sz w:val="20"/>
          <w:szCs w:val="20"/>
        </w:rPr>
        <w:t>Que mediante comunicación SEI-GPV 1367 del 18 de enero de 2021, el INVÍAS manifestó ante la firma VIPSA 2016, encargada del recaudo de peaje en las estaciones de Daza y Cano, en virtud del contrato de concesión No. 1059 de 2016, la posibilidad de adelantar la unificación de los peajes referidos, requiriéndole informar si como consecuencia de las modificaciones propuestas, se podría generar afectación en el modelo financiero del contrato de concesión que impacte desfavorablemente a esa firma.</w:t>
      </w:r>
    </w:p>
    <w:p w14:paraId="14838B59" w14:textId="77777777" w:rsidR="00BA2BF7" w:rsidRPr="004F7856" w:rsidRDefault="00BA2BF7" w:rsidP="00BA2BF7">
      <w:pPr>
        <w:autoSpaceDE w:val="0"/>
        <w:adjustRightInd w:val="0"/>
        <w:ind w:left="567" w:right="567"/>
        <w:jc w:val="both"/>
        <w:rPr>
          <w:rFonts w:ascii="Work Sans" w:hAnsi="Work Sans" w:cs="ArialNarrow"/>
          <w:i/>
          <w:sz w:val="20"/>
          <w:szCs w:val="20"/>
        </w:rPr>
      </w:pPr>
    </w:p>
    <w:p w14:paraId="158595C6" w14:textId="77777777" w:rsidR="00BA2BF7" w:rsidRPr="004F7856" w:rsidRDefault="00BA2BF7" w:rsidP="00BA2BF7">
      <w:pPr>
        <w:autoSpaceDE w:val="0"/>
        <w:adjustRightInd w:val="0"/>
        <w:ind w:left="567" w:right="567"/>
        <w:jc w:val="both"/>
        <w:rPr>
          <w:rFonts w:ascii="Work Sans" w:hAnsi="Work Sans" w:cs="ArialNarrow-Italic"/>
          <w:i/>
          <w:iCs/>
          <w:sz w:val="20"/>
          <w:szCs w:val="20"/>
        </w:rPr>
      </w:pPr>
      <w:r w:rsidRPr="004F7856">
        <w:rPr>
          <w:rFonts w:ascii="Work Sans" w:hAnsi="Work Sans" w:cs="ArialNarrow"/>
          <w:i/>
          <w:sz w:val="20"/>
          <w:szCs w:val="20"/>
        </w:rPr>
        <w:lastRenderedPageBreak/>
        <w:t xml:space="preserve">Que a través del oficio 1200-GG-097-21, con radicado INVÍAS No. 7731 del 3 de febrero de 2021, la representante Legal de la firma VIPSA 2016, manifiesta que </w:t>
      </w:r>
      <w:r w:rsidRPr="004F7856">
        <w:rPr>
          <w:rFonts w:ascii="Work Sans" w:hAnsi="Work Sans" w:cs="ArialNarrow-Italic"/>
          <w:i/>
          <w:iCs/>
          <w:sz w:val="20"/>
          <w:szCs w:val="20"/>
        </w:rPr>
        <w:t>“(…) la unificación de las estaciones de peaje Cano y Daza en las condiciones indicadas en la comunicación en referencia, no tiene ninguna afectación económica desfavorable en el modelo económico del contrato.”</w:t>
      </w:r>
    </w:p>
    <w:p w14:paraId="40CF887F" w14:textId="77777777" w:rsidR="00BA2BF7" w:rsidRPr="004F7856" w:rsidRDefault="00BA2BF7" w:rsidP="00BA2BF7">
      <w:pPr>
        <w:autoSpaceDE w:val="0"/>
        <w:adjustRightInd w:val="0"/>
        <w:ind w:left="567" w:right="567"/>
        <w:jc w:val="both"/>
        <w:rPr>
          <w:rFonts w:ascii="Work Sans" w:hAnsi="Work Sans" w:cs="ArialNarrow-Italic"/>
          <w:i/>
          <w:iCs/>
          <w:sz w:val="20"/>
          <w:szCs w:val="20"/>
        </w:rPr>
      </w:pPr>
    </w:p>
    <w:p w14:paraId="74B4597C" w14:textId="77777777" w:rsidR="00BA2BF7" w:rsidRPr="004F7856" w:rsidRDefault="00BA2BF7" w:rsidP="00BA2BF7">
      <w:pPr>
        <w:autoSpaceDE w:val="0"/>
        <w:adjustRightInd w:val="0"/>
        <w:ind w:left="567" w:right="567"/>
        <w:jc w:val="both"/>
        <w:rPr>
          <w:rFonts w:ascii="Work Sans" w:hAnsi="Work Sans"/>
          <w:i/>
          <w:sz w:val="20"/>
          <w:szCs w:val="20"/>
        </w:rPr>
      </w:pPr>
      <w:r w:rsidRPr="004F7856">
        <w:rPr>
          <w:rFonts w:ascii="Work Sans" w:hAnsi="Work Sans" w:cs="ArialNarrow"/>
          <w:i/>
          <w:sz w:val="20"/>
          <w:szCs w:val="20"/>
        </w:rPr>
        <w:t>Con fundamento en las consideraciones anteriores, me permito de forma respetuosa emitir ante su Despacho concepto de viabilidad para unificar en la estación de peaje Cano, el recaudo de peaje de las estaciones Daza y Cano, remitiendo para el efecto el proyecto de Resolución que materialice lo señalado, si lo encuentra procedente…”</w:t>
      </w:r>
    </w:p>
    <w:p w14:paraId="45D9D2B9" w14:textId="77777777" w:rsidR="00BA2BF7" w:rsidRPr="004F7856" w:rsidRDefault="00BA2BF7" w:rsidP="00BA2BF7">
      <w:pPr>
        <w:widowControl/>
        <w:autoSpaceDE w:val="0"/>
        <w:ind w:left="567" w:right="567"/>
        <w:jc w:val="both"/>
        <w:rPr>
          <w:i/>
        </w:rPr>
      </w:pPr>
    </w:p>
    <w:p w14:paraId="5075D39B" w14:textId="77777777" w:rsidR="005831AB" w:rsidRDefault="005831AB">
      <w:pPr>
        <w:pStyle w:val="Textoindependiente"/>
        <w:ind w:right="49"/>
        <w:jc w:val="both"/>
        <w:rPr>
          <w:rFonts w:ascii="Work Sans" w:hAnsi="Work Sans" w:cs="Times New Roman"/>
          <w:kern w:val="0"/>
          <w:sz w:val="20"/>
          <w:szCs w:val="20"/>
          <w:lang w:val="es-CO" w:eastAsia="es-CO" w:bidi="ar-SA"/>
        </w:rPr>
      </w:pPr>
      <w:r>
        <w:rPr>
          <w:rFonts w:ascii="Work Sans" w:hAnsi="Work Sans" w:cs="Times New Roman"/>
          <w:kern w:val="0"/>
          <w:sz w:val="20"/>
          <w:szCs w:val="20"/>
          <w:lang w:val="es-CO" w:eastAsia="es-CO" w:bidi="ar-SA"/>
        </w:rPr>
        <w:t>Que mediante certificación SEI-GPV 18746 del 16 de abril de 2021, del Instituto Nacional de Vías INVIAS, se señala que “</w:t>
      </w:r>
      <w:r w:rsidRPr="005831AB">
        <w:rPr>
          <w:rFonts w:ascii="Work Sans" w:hAnsi="Work Sans" w:cs="Times New Roman"/>
          <w:i/>
          <w:kern w:val="0"/>
          <w:sz w:val="20"/>
          <w:szCs w:val="20"/>
          <w:lang w:val="es-CO" w:eastAsia="es-CO" w:bidi="ar-SA"/>
        </w:rPr>
        <w:t>de acuerdo  con la inspección y validación realizada en campo, sobre la ubicación de la estación de peaje Daza, le informo que la misma se encuentra ubicada en el PR 14+0400 de la carretera Pasto- Cano Mojarras</w:t>
      </w:r>
      <w:r>
        <w:rPr>
          <w:rFonts w:ascii="Work Sans" w:hAnsi="Work Sans" w:cs="Times New Roman"/>
          <w:i/>
          <w:kern w:val="0"/>
          <w:sz w:val="20"/>
          <w:szCs w:val="20"/>
          <w:lang w:val="es-CO" w:eastAsia="es-CO" w:bidi="ar-SA"/>
        </w:rPr>
        <w:t>, Ruta 2502</w:t>
      </w:r>
      <w:r w:rsidR="006A084D">
        <w:rPr>
          <w:rFonts w:ascii="Work Sans" w:hAnsi="Work Sans" w:cs="Times New Roman"/>
          <w:i/>
          <w:kern w:val="0"/>
          <w:sz w:val="20"/>
          <w:szCs w:val="20"/>
          <w:lang w:val="es-CO" w:eastAsia="es-CO" w:bidi="ar-SA"/>
        </w:rPr>
        <w:t>.</w:t>
      </w:r>
      <w:r>
        <w:rPr>
          <w:rFonts w:ascii="Work Sans" w:hAnsi="Work Sans" w:cs="Times New Roman"/>
          <w:i/>
          <w:kern w:val="0"/>
          <w:sz w:val="20"/>
          <w:szCs w:val="20"/>
          <w:lang w:val="es-CO" w:eastAsia="es-CO" w:bidi="ar-SA"/>
        </w:rPr>
        <w:t>”</w:t>
      </w:r>
    </w:p>
    <w:p w14:paraId="5343B753" w14:textId="77777777" w:rsidR="00C20C98" w:rsidRPr="004F7856" w:rsidRDefault="00BC27F7">
      <w:pPr>
        <w:pStyle w:val="Textoindependiente"/>
        <w:ind w:right="49"/>
        <w:jc w:val="both"/>
      </w:pPr>
      <w:r w:rsidRPr="004F7856">
        <w:rPr>
          <w:rFonts w:ascii="Work Sans" w:hAnsi="Work Sans" w:cs="Times New Roman"/>
          <w:kern w:val="0"/>
          <w:sz w:val="20"/>
          <w:szCs w:val="20"/>
          <w:lang w:val="es-CO" w:eastAsia="es-CO" w:bidi="ar-SA"/>
        </w:rPr>
        <w:t>Que mediante oficio número 1200-GG-097-21, con radicado INVÍAS No. 7731 del 3 de febrero de 2021, la representante Legal de la firma VIPSA 2016, encargada del recaudo de peaje en las estaciones de Daza y Cano, en virtud del contrato de concesión N</w:t>
      </w:r>
      <w:r w:rsidR="006C0ECE" w:rsidRPr="004F7856">
        <w:rPr>
          <w:rFonts w:ascii="Work Sans" w:hAnsi="Work Sans" w:cs="Times New Roman"/>
          <w:kern w:val="0"/>
          <w:sz w:val="20"/>
          <w:szCs w:val="20"/>
          <w:lang w:val="es-CO" w:eastAsia="es-CO" w:bidi="ar-SA"/>
        </w:rPr>
        <w:t>o</w:t>
      </w:r>
      <w:r w:rsidRPr="004F7856">
        <w:rPr>
          <w:rFonts w:ascii="Work Sans" w:hAnsi="Work Sans" w:cs="Times New Roman"/>
          <w:kern w:val="0"/>
          <w:sz w:val="20"/>
          <w:szCs w:val="20"/>
          <w:lang w:val="es-CO" w:eastAsia="es-CO" w:bidi="ar-SA"/>
        </w:rPr>
        <w:t>. 1059 de 2016, se pronunció frente a la unificación de las estaciones de peaje Cano y Daza, en los siguientes términos:</w:t>
      </w:r>
    </w:p>
    <w:p w14:paraId="67DCD912" w14:textId="77777777" w:rsidR="00C20C98" w:rsidRPr="004F7856" w:rsidRDefault="00BC27F7">
      <w:pPr>
        <w:pStyle w:val="Textoindependiente"/>
        <w:ind w:left="567" w:right="425"/>
        <w:jc w:val="both"/>
      </w:pPr>
      <w:r w:rsidRPr="004F7856">
        <w:rPr>
          <w:rFonts w:ascii="Work Sans" w:hAnsi="Work Sans"/>
          <w:i/>
          <w:sz w:val="18"/>
          <w:szCs w:val="18"/>
        </w:rPr>
        <w:t>“En atención a lo solicitado mediante comunicación No. SEI-GPV 1367, comedidamente informamos que la unificación de las estaciones de peaje Cano y Daza en las condiciones indicadas en la comunicación en referencia, no tiene ninguna afectación económica desfavorable en el modelo económico del contrato”</w:t>
      </w:r>
    </w:p>
    <w:p w14:paraId="1E80734A" w14:textId="77777777" w:rsidR="00C20C98" w:rsidRPr="004F7856" w:rsidRDefault="00BC27F7">
      <w:pPr>
        <w:pStyle w:val="Textoindependiente"/>
        <w:ind w:right="49"/>
        <w:jc w:val="both"/>
      </w:pPr>
      <w:r w:rsidRPr="004F7856">
        <w:rPr>
          <w:rFonts w:ascii="Work Sans" w:eastAsia="DengXian Light" w:hAnsi="Work Sans" w:cs="Arial"/>
          <w:sz w:val="20"/>
          <w:szCs w:val="20"/>
          <w:lang w:bidi="ar-SA"/>
        </w:rPr>
        <w:t>Que mediante memorando número 20211410038433 del 25 de febrero de 2021,</w:t>
      </w:r>
      <w:r w:rsidRPr="004F7856">
        <w:rPr>
          <w:rFonts w:ascii="Work Sans" w:hAnsi="Work Sans" w:cs="Times New Roman"/>
          <w:sz w:val="20"/>
          <w:szCs w:val="20"/>
          <w:lang w:eastAsia="es-ES"/>
        </w:rPr>
        <w:t xml:space="preserve"> la Oficina de Regulación Económica del Ministerio de Transporte en cumplimiento del numeral 9.8.del artículo 9° del Decreto 087 de 2</w:t>
      </w:r>
      <w:r w:rsidRPr="004F7856">
        <w:rPr>
          <w:rFonts w:ascii="Work Sans" w:eastAsia="DengXian Light" w:hAnsi="Work Sans" w:cs="Arial"/>
          <w:sz w:val="20"/>
          <w:szCs w:val="20"/>
          <w:lang w:bidi="ar-SA"/>
        </w:rPr>
        <w:t xml:space="preserve"> emitió concepto previo vinculante favorable para la </w:t>
      </w:r>
      <w:r w:rsidRPr="004F7856">
        <w:rPr>
          <w:rFonts w:ascii="Work Sans" w:hAnsi="Work Sans" w:cs="Times New Roman"/>
          <w:kern w:val="0"/>
          <w:sz w:val="20"/>
          <w:szCs w:val="20"/>
          <w:lang w:val="es-CO" w:eastAsia="es-CO" w:bidi="ar-SA"/>
        </w:rPr>
        <w:t>unificación de las estaciones de peaje Cano y Daza</w:t>
      </w:r>
      <w:r w:rsidRPr="004F7856">
        <w:rPr>
          <w:rFonts w:ascii="Work Sans" w:eastAsia="DengXian Light" w:hAnsi="Work Sans" w:cs="Arial"/>
          <w:sz w:val="20"/>
          <w:szCs w:val="20"/>
          <w:lang w:bidi="ar-SA"/>
        </w:rPr>
        <w:t xml:space="preserve"> en los siguientes términos:</w:t>
      </w:r>
    </w:p>
    <w:p w14:paraId="40D39900" w14:textId="77777777" w:rsidR="00C20C98" w:rsidRPr="004F7856" w:rsidRDefault="006C0ECE">
      <w:pPr>
        <w:ind w:left="426" w:right="425"/>
        <w:jc w:val="both"/>
      </w:pPr>
      <w:r w:rsidRPr="004F7856">
        <w:rPr>
          <w:rFonts w:ascii="Work Sans" w:hAnsi="Work Sans" w:cs="Arial"/>
          <w:i/>
          <w:kern w:val="0"/>
          <w:sz w:val="18"/>
          <w:szCs w:val="18"/>
          <w:lang w:val="es-CO" w:bidi="ar-SA"/>
        </w:rPr>
        <w:t>“</w:t>
      </w:r>
      <w:r w:rsidR="00BC27F7" w:rsidRPr="004F7856">
        <w:rPr>
          <w:rFonts w:ascii="Work Sans" w:hAnsi="Work Sans" w:cs="Arial"/>
          <w:i/>
          <w:kern w:val="0"/>
          <w:sz w:val="18"/>
          <w:szCs w:val="18"/>
          <w:lang w:val="es-CO" w:bidi="ar-SA"/>
        </w:rPr>
        <w:t xml:space="preserve">Teniendo en cuenta los soportes técnicos, documentos y antecedentes remitidos por el Instituto Nacional de Vías – INVIAS en la comunicación del radicado No. 20213030292322 de fecha 12 de febrero de 2021, para </w:t>
      </w:r>
      <w:r w:rsidR="00BC27F7" w:rsidRPr="004F7856">
        <w:rPr>
          <w:rFonts w:ascii="Work Sans" w:hAnsi="Work Sans" w:cs="Arial"/>
          <w:i/>
          <w:kern w:val="0"/>
          <w:sz w:val="18"/>
          <w:szCs w:val="18"/>
          <w:lang w:bidi="ar-SA"/>
        </w:rPr>
        <w:t>la unificación de la estación de peaje Daza y Cano en la estación de Cano que se localiza en el PR 36+0000 de la carretera Pasto - Cano - Mojarras, Ruta 2502</w:t>
      </w:r>
      <w:r w:rsidR="00BC27F7" w:rsidRPr="004F7856">
        <w:rPr>
          <w:rFonts w:ascii="Work Sans" w:hAnsi="Work Sans" w:cs="Arial"/>
          <w:i/>
          <w:kern w:val="0"/>
          <w:sz w:val="18"/>
          <w:szCs w:val="18"/>
          <w:lang w:val="es-CO" w:bidi="ar-SA"/>
        </w:rPr>
        <w:t xml:space="preserve">, la Oficina de Regulación Económica del Ministerio de Transporte, desde un punto de vista económico y financiero, se permite emitir concepto previo vinculante favorable </w:t>
      </w:r>
      <w:r w:rsidR="00BC27F7" w:rsidRPr="004F7856">
        <w:rPr>
          <w:rFonts w:ascii="Work Sans" w:hAnsi="Work Sans" w:cs="Arial"/>
          <w:i/>
          <w:kern w:val="0"/>
          <w:sz w:val="18"/>
          <w:szCs w:val="18"/>
          <w:lang w:bidi="ar-SA"/>
        </w:rPr>
        <w:t>para la unificación en la estación de peaje Cano, de las estaciones denominadas Cano y Daza localizadas en la carretera Pasto – Cano – Mojarras, Ruta 2502.</w:t>
      </w:r>
    </w:p>
    <w:p w14:paraId="10A17AE8" w14:textId="77777777" w:rsidR="00C20C98" w:rsidRPr="004F7856" w:rsidRDefault="00C20C98">
      <w:pPr>
        <w:ind w:left="426" w:right="425"/>
        <w:jc w:val="both"/>
        <w:rPr>
          <w:rFonts w:ascii="Work Sans" w:hAnsi="Work Sans" w:cs="Arial"/>
          <w:i/>
          <w:kern w:val="0"/>
          <w:sz w:val="18"/>
          <w:szCs w:val="18"/>
          <w:lang w:val="es-CO" w:bidi="ar-SA"/>
        </w:rPr>
      </w:pPr>
    </w:p>
    <w:p w14:paraId="1DF4CAF5" w14:textId="77777777" w:rsidR="00C20C98" w:rsidRPr="004F7856" w:rsidRDefault="00BC27F7">
      <w:pPr>
        <w:ind w:left="426" w:right="425"/>
        <w:jc w:val="both"/>
      </w:pPr>
      <w:r w:rsidRPr="004F7856">
        <w:rPr>
          <w:rFonts w:ascii="Work Sans" w:hAnsi="Work Sans" w:cs="Arial"/>
          <w:i/>
          <w:kern w:val="0"/>
          <w:sz w:val="18"/>
          <w:szCs w:val="18"/>
          <w:lang w:val="es-CO" w:bidi="ar-SA"/>
        </w:rPr>
        <w:t xml:space="preserve">Lo anterior teniendo en cuenta que la unificación de la estación de peaje </w:t>
      </w:r>
      <w:r w:rsidRPr="004F7856">
        <w:rPr>
          <w:rFonts w:ascii="Work Sans" w:hAnsi="Work Sans" w:cs="Arial"/>
          <w:i/>
          <w:kern w:val="0"/>
          <w:sz w:val="18"/>
          <w:szCs w:val="18"/>
          <w:lang w:bidi="ar-SA"/>
        </w:rPr>
        <w:t>Daza y Cano en la estación de Cano</w:t>
      </w:r>
      <w:r w:rsidRPr="004F7856">
        <w:rPr>
          <w:rFonts w:ascii="Work Sans" w:hAnsi="Work Sans" w:cs="Arial"/>
          <w:i/>
          <w:kern w:val="0"/>
          <w:sz w:val="18"/>
          <w:szCs w:val="18"/>
          <w:lang w:val="es-CO" w:bidi="ar-SA"/>
        </w:rPr>
        <w:t>, no impacta técnica, económica y financieramente a los residentes en el área de influencia del peaje, ni el desarrollo del proyecto de concesión vial, tal como lo manifiestan los conceptos emitidos por el Instituto Nacional de Vías - INVIAS.</w:t>
      </w:r>
      <w:r w:rsidR="000060AA" w:rsidRPr="004F7856">
        <w:rPr>
          <w:rFonts w:ascii="Work Sans" w:hAnsi="Work Sans" w:cs="Arial"/>
          <w:i/>
          <w:kern w:val="0"/>
          <w:sz w:val="18"/>
          <w:szCs w:val="18"/>
          <w:lang w:val="es-CO" w:bidi="ar-SA"/>
        </w:rPr>
        <w:t>”</w:t>
      </w:r>
    </w:p>
    <w:p w14:paraId="531AE714" w14:textId="77777777" w:rsidR="0030273A" w:rsidRPr="004F7856" w:rsidRDefault="0030273A">
      <w:pPr>
        <w:pStyle w:val="Textoindependiente"/>
        <w:ind w:right="49"/>
        <w:jc w:val="both"/>
        <w:rPr>
          <w:rFonts w:ascii="Work Sans" w:eastAsia="DengXian Light" w:hAnsi="Work Sans" w:cs="Arial"/>
          <w:sz w:val="20"/>
          <w:szCs w:val="20"/>
          <w:lang w:bidi="ar-SA"/>
        </w:rPr>
      </w:pPr>
    </w:p>
    <w:p w14:paraId="4A1FCE72" w14:textId="77777777" w:rsidR="00C20C98" w:rsidRPr="004F7856" w:rsidRDefault="00BC27F7">
      <w:pPr>
        <w:pStyle w:val="Textoindependiente"/>
        <w:ind w:right="49"/>
        <w:jc w:val="both"/>
      </w:pPr>
      <w:r w:rsidRPr="004F7856">
        <w:rPr>
          <w:rFonts w:ascii="Work Sans" w:eastAsia="DengXian Light" w:hAnsi="Work Sans" w:cs="Arial"/>
          <w:sz w:val="20"/>
          <w:szCs w:val="20"/>
          <w:lang w:bidi="ar-SA"/>
        </w:rPr>
        <w:t xml:space="preserve">Que el contenido de la presente resolución fue publicado en la página web del Ministerio de Transporte y en la página Web del Instituto Nacional de Vías, en cumplimiento de lo determinado en el numeral 8 del artículo 8° de la Ley 1437 de 2011, Decreto 1081 de 2015 modificado por el Decreto 270 de 2017, con el objeto de recibir opiniones, sugerencias o propuestas alternativas y mediante certificaciones </w:t>
      </w:r>
      <w:r w:rsidRPr="004F7856">
        <w:rPr>
          <w:rFonts w:ascii="Work Sans" w:eastAsia="DengXian Light" w:hAnsi="Work Sans" w:cs="Arial"/>
          <w:sz w:val="20"/>
          <w:szCs w:val="20"/>
          <w:lang w:bidi="ar-SA"/>
        </w:rPr>
        <w:lastRenderedPageBreak/>
        <w:t>del XXXXXXX expedidas por el Ministerio de Transporte y el Instituto Nacional de Vías se informó que XXXXXXX.</w:t>
      </w:r>
    </w:p>
    <w:p w14:paraId="413FBFA2" w14:textId="77777777" w:rsidR="00C20C98" w:rsidRPr="004F7856" w:rsidRDefault="00BC27F7">
      <w:pPr>
        <w:autoSpaceDE w:val="0"/>
        <w:jc w:val="both"/>
        <w:rPr>
          <w:rFonts w:ascii="Work Sans" w:eastAsia="DengXian Light" w:hAnsi="Work Sans" w:cs="Arial"/>
          <w:sz w:val="20"/>
          <w:szCs w:val="20"/>
          <w:lang w:bidi="ar-SA"/>
        </w:rPr>
      </w:pPr>
      <w:r w:rsidRPr="004F7856">
        <w:rPr>
          <w:rFonts w:ascii="Work Sans" w:eastAsia="DengXian Light" w:hAnsi="Work Sans" w:cs="Arial"/>
          <w:sz w:val="20"/>
          <w:szCs w:val="20"/>
          <w:lang w:bidi="ar-SA"/>
        </w:rPr>
        <w:t>Que la Oficina Asesora de Jurídica conservará los documentos asociados a la publicación del presente acto administrativo. Todo ello en concordancia con las políticas de gestión documental y de archivo de la entidad.</w:t>
      </w:r>
    </w:p>
    <w:p w14:paraId="45A789FC" w14:textId="77777777" w:rsidR="00C20C98" w:rsidRPr="004F7856" w:rsidRDefault="00C20C98">
      <w:pPr>
        <w:autoSpaceDE w:val="0"/>
        <w:jc w:val="both"/>
        <w:rPr>
          <w:rFonts w:ascii="Work Sans" w:hAnsi="Work Sans" w:cs="Arial"/>
          <w:kern w:val="0"/>
          <w:sz w:val="20"/>
          <w:szCs w:val="20"/>
          <w:lang w:val="es-CO" w:eastAsia="en-US" w:bidi="ar-SA"/>
        </w:rPr>
      </w:pPr>
    </w:p>
    <w:p w14:paraId="4765641C" w14:textId="77777777" w:rsidR="00C20C98" w:rsidRPr="004F7856" w:rsidRDefault="00BC27F7">
      <w:pPr>
        <w:autoSpaceDE w:val="0"/>
        <w:jc w:val="both"/>
        <w:rPr>
          <w:rFonts w:ascii="Work Sans" w:hAnsi="Work Sans" w:cs="Arial"/>
          <w:kern w:val="0"/>
          <w:sz w:val="20"/>
          <w:szCs w:val="20"/>
          <w:lang w:val="es-CO" w:eastAsia="en-US" w:bidi="ar-SA"/>
        </w:rPr>
      </w:pPr>
      <w:r w:rsidRPr="004F7856">
        <w:rPr>
          <w:rFonts w:ascii="Work Sans" w:hAnsi="Work Sans" w:cs="Arial"/>
          <w:kern w:val="0"/>
          <w:sz w:val="20"/>
          <w:szCs w:val="20"/>
          <w:lang w:val="es-CO" w:eastAsia="en-US" w:bidi="ar-SA"/>
        </w:rPr>
        <w:t>En mérito de lo expuesto,</w:t>
      </w:r>
    </w:p>
    <w:p w14:paraId="17BE5EAA" w14:textId="77777777" w:rsidR="00C20C98" w:rsidRPr="004F7856" w:rsidRDefault="00C20C98">
      <w:pPr>
        <w:autoSpaceDE w:val="0"/>
        <w:jc w:val="both"/>
        <w:rPr>
          <w:rFonts w:ascii="Work Sans" w:eastAsia="DengXian Light" w:hAnsi="Work Sans" w:cs="Arial"/>
          <w:sz w:val="20"/>
          <w:szCs w:val="20"/>
          <w:shd w:val="clear" w:color="auto" w:fill="FFFF00"/>
        </w:rPr>
      </w:pPr>
    </w:p>
    <w:p w14:paraId="7D426716" w14:textId="77777777" w:rsidR="00C20C98" w:rsidRPr="004F7856" w:rsidRDefault="00BC27F7">
      <w:pPr>
        <w:pStyle w:val="Standard"/>
        <w:autoSpaceDE w:val="0"/>
        <w:jc w:val="center"/>
        <w:rPr>
          <w:rFonts w:ascii="Work Sans" w:hAnsi="Work Sans" w:cs="Arial"/>
          <w:b/>
          <w:kern w:val="0"/>
          <w:sz w:val="20"/>
          <w:lang w:val="es-CO" w:eastAsia="en-US"/>
        </w:rPr>
      </w:pPr>
      <w:r w:rsidRPr="004F7856">
        <w:rPr>
          <w:rFonts w:ascii="Work Sans" w:hAnsi="Work Sans" w:cs="Arial"/>
          <w:b/>
          <w:kern w:val="0"/>
          <w:sz w:val="20"/>
          <w:lang w:val="es-CO" w:eastAsia="en-US"/>
        </w:rPr>
        <w:t>RESUELVE:</w:t>
      </w:r>
    </w:p>
    <w:p w14:paraId="7779B432" w14:textId="77777777" w:rsidR="00C20C98" w:rsidRPr="004F7856" w:rsidRDefault="00C20C98">
      <w:pPr>
        <w:pStyle w:val="Standard"/>
        <w:autoSpaceDE w:val="0"/>
        <w:jc w:val="center"/>
        <w:rPr>
          <w:rFonts w:ascii="Work Sans" w:hAnsi="Work Sans" w:cs="Arial"/>
          <w:b/>
          <w:sz w:val="20"/>
        </w:rPr>
      </w:pPr>
    </w:p>
    <w:p w14:paraId="1302D016" w14:textId="77777777" w:rsidR="00C20C98" w:rsidRPr="004F7856" w:rsidRDefault="00BC27F7">
      <w:pPr>
        <w:jc w:val="both"/>
        <w:rPr>
          <w:rFonts w:ascii="Work Sans" w:hAnsi="Work Sans" w:cs="Arial"/>
          <w:sz w:val="20"/>
          <w:szCs w:val="20"/>
        </w:rPr>
      </w:pPr>
      <w:r w:rsidRPr="004F7856">
        <w:rPr>
          <w:rStyle w:val="Fuentedeprrafopredeter0"/>
          <w:rFonts w:ascii="Work Sans" w:hAnsi="Work Sans" w:cs="Arial"/>
          <w:b/>
          <w:kern w:val="0"/>
          <w:sz w:val="20"/>
          <w:szCs w:val="20"/>
          <w:lang w:val="es-CO" w:eastAsia="en-US" w:bidi="ar-SA"/>
        </w:rPr>
        <w:t xml:space="preserve">ARTÍCULO 1.- </w:t>
      </w:r>
      <w:r w:rsidRPr="004F7856">
        <w:rPr>
          <w:rStyle w:val="Fuentedeprrafopredeter0"/>
          <w:rFonts w:ascii="Work Sans" w:hAnsi="Work Sans" w:cs="Arial"/>
          <w:kern w:val="0"/>
          <w:sz w:val="20"/>
          <w:szCs w:val="20"/>
          <w:lang w:val="es-CO" w:eastAsia="en-US" w:bidi="ar-SA"/>
        </w:rPr>
        <w:t>Emitir</w:t>
      </w:r>
      <w:r w:rsidRPr="004F7856">
        <w:rPr>
          <w:rFonts w:ascii="Work Sans" w:hAnsi="Work Sans" w:cs="Arial"/>
          <w:sz w:val="20"/>
          <w:szCs w:val="20"/>
        </w:rPr>
        <w:t xml:space="preserve"> concepto vinculante previo para unifica</w:t>
      </w:r>
      <w:r w:rsidR="009B31A0" w:rsidRPr="004F7856">
        <w:rPr>
          <w:rFonts w:ascii="Work Sans" w:hAnsi="Work Sans" w:cs="Arial"/>
          <w:sz w:val="20"/>
          <w:szCs w:val="20"/>
        </w:rPr>
        <w:t>r</w:t>
      </w:r>
      <w:r w:rsidRPr="004F7856">
        <w:rPr>
          <w:rFonts w:ascii="Work Sans" w:hAnsi="Work Sans" w:cs="Arial"/>
          <w:sz w:val="20"/>
          <w:szCs w:val="20"/>
        </w:rPr>
        <w:t xml:space="preserve"> </w:t>
      </w:r>
      <w:r w:rsidR="009B31A0" w:rsidRPr="004F7856">
        <w:rPr>
          <w:rFonts w:ascii="Work Sans" w:hAnsi="Work Sans" w:cs="Arial"/>
          <w:sz w:val="20"/>
          <w:szCs w:val="20"/>
        </w:rPr>
        <w:t>el recaudo de peaje de la</w:t>
      </w:r>
      <w:r w:rsidR="00834ED7" w:rsidRPr="004F7856">
        <w:rPr>
          <w:rFonts w:ascii="Work Sans" w:hAnsi="Work Sans" w:cs="Arial"/>
          <w:sz w:val="20"/>
          <w:szCs w:val="20"/>
        </w:rPr>
        <w:t>s</w:t>
      </w:r>
      <w:r w:rsidR="009B31A0" w:rsidRPr="004F7856">
        <w:rPr>
          <w:rFonts w:ascii="Work Sans" w:hAnsi="Work Sans" w:cs="Arial"/>
          <w:sz w:val="20"/>
          <w:szCs w:val="20"/>
        </w:rPr>
        <w:t xml:space="preserve"> estaciones de peaje Daza y Cano, en la </w:t>
      </w:r>
      <w:r w:rsidRPr="004F7856">
        <w:rPr>
          <w:rFonts w:ascii="Work Sans" w:hAnsi="Work Sans" w:cs="Arial"/>
          <w:sz w:val="20"/>
          <w:szCs w:val="20"/>
        </w:rPr>
        <w:t xml:space="preserve">estación </w:t>
      </w:r>
      <w:r w:rsidR="009B31A0" w:rsidRPr="004F7856">
        <w:rPr>
          <w:rFonts w:ascii="Work Sans" w:hAnsi="Work Sans" w:cs="Arial"/>
          <w:sz w:val="20"/>
          <w:szCs w:val="20"/>
        </w:rPr>
        <w:t xml:space="preserve">de </w:t>
      </w:r>
      <w:r w:rsidRPr="004F7856">
        <w:rPr>
          <w:rFonts w:ascii="Work Sans" w:hAnsi="Work Sans" w:cs="Arial"/>
          <w:sz w:val="20"/>
          <w:szCs w:val="20"/>
        </w:rPr>
        <w:t>peaje denominada Cano, localizada en el PR 36+0000 de la carretera Pasto – Cano – Mojarras, Ruta 2502</w:t>
      </w:r>
      <w:r w:rsidR="009B31A0" w:rsidRPr="004F7856">
        <w:rPr>
          <w:rFonts w:ascii="Work Sans" w:hAnsi="Work Sans" w:cs="Arial"/>
          <w:sz w:val="20"/>
          <w:szCs w:val="20"/>
        </w:rPr>
        <w:t>.</w:t>
      </w:r>
    </w:p>
    <w:p w14:paraId="6DF5A173" w14:textId="77777777" w:rsidR="00BF7A20" w:rsidRPr="004F7856" w:rsidRDefault="00BF7A20">
      <w:pPr>
        <w:jc w:val="both"/>
        <w:rPr>
          <w:rFonts w:ascii="Work Sans" w:hAnsi="Work Sans" w:cs="Arial"/>
          <w:sz w:val="20"/>
          <w:szCs w:val="20"/>
        </w:rPr>
      </w:pPr>
    </w:p>
    <w:p w14:paraId="033FA13B" w14:textId="77777777" w:rsidR="00BF7A20" w:rsidRPr="004F7856" w:rsidRDefault="00BF7A20" w:rsidP="00BF7A20">
      <w:pPr>
        <w:jc w:val="both"/>
        <w:rPr>
          <w:rFonts w:ascii="Work Sans" w:hAnsi="Work Sans" w:cs="Arial"/>
          <w:sz w:val="20"/>
          <w:szCs w:val="20"/>
        </w:rPr>
      </w:pPr>
      <w:r w:rsidRPr="004F7856">
        <w:rPr>
          <w:rFonts w:ascii="Work Sans" w:hAnsi="Work Sans" w:cs="Arial"/>
          <w:b/>
          <w:sz w:val="20"/>
          <w:szCs w:val="20"/>
        </w:rPr>
        <w:t xml:space="preserve">ARTÍCULO 2.- </w:t>
      </w:r>
      <w:r w:rsidRPr="004F7856">
        <w:rPr>
          <w:rFonts w:ascii="Work Sans" w:hAnsi="Work Sans" w:cs="Arial"/>
          <w:sz w:val="20"/>
          <w:szCs w:val="20"/>
        </w:rPr>
        <w:t>El cobro de las tarifas de peaje</w:t>
      </w:r>
      <w:r w:rsidR="001C7DC2" w:rsidRPr="004F7856">
        <w:rPr>
          <w:rFonts w:ascii="Work Sans" w:hAnsi="Work Sans" w:cs="Arial"/>
          <w:sz w:val="20"/>
          <w:szCs w:val="20"/>
        </w:rPr>
        <w:t xml:space="preserve"> para cada una de las categorías existentes en las estaciones de peaje Daza y Cano,</w:t>
      </w:r>
      <w:r w:rsidRPr="004F7856">
        <w:rPr>
          <w:rFonts w:ascii="Work Sans" w:hAnsi="Work Sans" w:cs="Arial"/>
          <w:sz w:val="20"/>
          <w:szCs w:val="20"/>
        </w:rPr>
        <w:t xml:space="preserve"> se efectuará</w:t>
      </w:r>
      <w:r w:rsidR="001C7DC2" w:rsidRPr="004F7856">
        <w:rPr>
          <w:rFonts w:ascii="Work Sans" w:hAnsi="Work Sans" w:cs="Arial"/>
          <w:sz w:val="20"/>
          <w:szCs w:val="20"/>
        </w:rPr>
        <w:t xml:space="preserve"> en la estación de peaje Cano</w:t>
      </w:r>
      <w:r w:rsidR="00EE606F" w:rsidRPr="004F7856">
        <w:rPr>
          <w:rFonts w:ascii="Work Sans" w:hAnsi="Work Sans" w:cs="Arial"/>
          <w:sz w:val="20"/>
          <w:szCs w:val="20"/>
        </w:rPr>
        <w:t>,</w:t>
      </w:r>
      <w:r w:rsidRPr="004F7856">
        <w:rPr>
          <w:rFonts w:ascii="Work Sans" w:hAnsi="Work Sans" w:cs="Arial"/>
          <w:sz w:val="20"/>
          <w:szCs w:val="20"/>
        </w:rPr>
        <w:t xml:space="preserve"> en los dos (2) s</w:t>
      </w:r>
      <w:r w:rsidR="001C7DC2" w:rsidRPr="004F7856">
        <w:rPr>
          <w:rFonts w:ascii="Work Sans" w:hAnsi="Work Sans" w:cs="Arial"/>
          <w:sz w:val="20"/>
          <w:szCs w:val="20"/>
        </w:rPr>
        <w:t>entidos del tránsito vehicular.</w:t>
      </w:r>
    </w:p>
    <w:p w14:paraId="3B191001" w14:textId="77777777" w:rsidR="001C7DC2" w:rsidRPr="004F7856" w:rsidRDefault="001C7DC2" w:rsidP="00BF7A20">
      <w:pPr>
        <w:jc w:val="both"/>
        <w:rPr>
          <w:rFonts w:ascii="Work Sans" w:hAnsi="Work Sans" w:cs="Arial"/>
          <w:sz w:val="20"/>
          <w:szCs w:val="20"/>
        </w:rPr>
      </w:pPr>
    </w:p>
    <w:p w14:paraId="4B87B95A" w14:textId="77777777" w:rsidR="00C20C98" w:rsidRPr="004F7856" w:rsidRDefault="00BF7A20">
      <w:pPr>
        <w:widowControl/>
        <w:jc w:val="both"/>
        <w:textAlignment w:val="auto"/>
      </w:pPr>
      <w:r w:rsidRPr="004F7856">
        <w:rPr>
          <w:rStyle w:val="Fuentedeprrafopredeter0"/>
          <w:rFonts w:ascii="Work Sans" w:hAnsi="Work Sans" w:cs="Arial"/>
          <w:b/>
          <w:kern w:val="0"/>
          <w:sz w:val="20"/>
          <w:szCs w:val="20"/>
          <w:lang w:val="es-CO" w:eastAsia="en-US" w:bidi="ar-SA"/>
        </w:rPr>
        <w:t>ARTÍCULO 3</w:t>
      </w:r>
      <w:r w:rsidR="00BC27F7" w:rsidRPr="004F7856">
        <w:rPr>
          <w:rStyle w:val="Fuentedeprrafopredeter0"/>
          <w:rFonts w:ascii="Work Sans" w:hAnsi="Work Sans" w:cs="Arial"/>
          <w:b/>
          <w:kern w:val="0"/>
          <w:sz w:val="20"/>
          <w:szCs w:val="20"/>
          <w:lang w:val="es-CO" w:eastAsia="en-US" w:bidi="ar-SA"/>
        </w:rPr>
        <w:t>.-</w:t>
      </w:r>
      <w:r w:rsidR="00BC27F7" w:rsidRPr="004F7856">
        <w:rPr>
          <w:rStyle w:val="Fuentedeprrafopredeter0"/>
          <w:rFonts w:ascii="Work Sans" w:hAnsi="Work Sans" w:cs="Arial"/>
          <w:kern w:val="0"/>
          <w:sz w:val="20"/>
          <w:szCs w:val="20"/>
          <w:lang w:val="es-CO" w:eastAsia="en-US" w:bidi="ar-SA"/>
        </w:rPr>
        <w:t xml:space="preserve"> La presente resoluc</w:t>
      </w:r>
      <w:r w:rsidR="00834ED7" w:rsidRPr="004F7856">
        <w:rPr>
          <w:rStyle w:val="Fuentedeprrafopredeter0"/>
          <w:rFonts w:ascii="Work Sans" w:hAnsi="Work Sans" w:cs="Arial"/>
          <w:kern w:val="0"/>
          <w:sz w:val="20"/>
          <w:szCs w:val="20"/>
          <w:lang w:val="es-CO" w:eastAsia="en-US" w:bidi="ar-SA"/>
        </w:rPr>
        <w:t>ión rige a partir de la fecha de su publicación en el diario oficial y deroga</w:t>
      </w:r>
      <w:r w:rsidR="00395674" w:rsidRPr="004F7856">
        <w:rPr>
          <w:rStyle w:val="Fuentedeprrafopredeter0"/>
          <w:rFonts w:ascii="Work Sans" w:hAnsi="Work Sans" w:cs="Arial"/>
          <w:kern w:val="0"/>
          <w:sz w:val="20"/>
          <w:szCs w:val="20"/>
          <w:lang w:val="es-CO" w:eastAsia="en-US" w:bidi="ar-SA"/>
        </w:rPr>
        <w:t xml:space="preserve"> el artículo 1 de la Resolución </w:t>
      </w:r>
      <w:r w:rsidR="00C45488" w:rsidRPr="004F7856">
        <w:rPr>
          <w:rStyle w:val="Fuentedeprrafopredeter0"/>
          <w:rFonts w:ascii="Work Sans" w:hAnsi="Work Sans" w:cs="Arial"/>
          <w:kern w:val="0"/>
          <w:sz w:val="20"/>
          <w:szCs w:val="20"/>
          <w:lang w:val="es-CO" w:eastAsia="en-US" w:bidi="ar-SA"/>
        </w:rPr>
        <w:t>0001227 de 2015,</w:t>
      </w:r>
      <w:r w:rsidR="00EE1280">
        <w:rPr>
          <w:rStyle w:val="Fuentedeprrafopredeter0"/>
          <w:rFonts w:ascii="Work Sans" w:hAnsi="Work Sans" w:cs="Arial"/>
          <w:kern w:val="0"/>
          <w:sz w:val="20"/>
          <w:szCs w:val="20"/>
          <w:lang w:val="es-CO" w:eastAsia="en-US" w:bidi="ar-SA"/>
        </w:rPr>
        <w:t xml:space="preserve"> en cuanto a lo establec</w:t>
      </w:r>
      <w:r w:rsidR="00511AB4">
        <w:rPr>
          <w:rStyle w:val="Fuentedeprrafopredeter0"/>
          <w:rFonts w:ascii="Work Sans" w:hAnsi="Work Sans" w:cs="Arial"/>
          <w:kern w:val="0"/>
          <w:sz w:val="20"/>
          <w:szCs w:val="20"/>
          <w:lang w:val="es-CO" w:eastAsia="en-US" w:bidi="ar-SA"/>
        </w:rPr>
        <w:t xml:space="preserve">ido </w:t>
      </w:r>
      <w:r w:rsidR="00C45488" w:rsidRPr="004F7856">
        <w:rPr>
          <w:rStyle w:val="Fuentedeprrafopredeter0"/>
          <w:rFonts w:ascii="Work Sans" w:hAnsi="Work Sans" w:cs="Arial"/>
          <w:kern w:val="0"/>
          <w:sz w:val="20"/>
          <w:szCs w:val="20"/>
          <w:lang w:val="es-CO" w:eastAsia="en-US" w:bidi="ar-SA"/>
        </w:rPr>
        <w:t>co</w:t>
      </w:r>
      <w:r w:rsidR="004F7856">
        <w:rPr>
          <w:rStyle w:val="Fuentedeprrafopredeter0"/>
          <w:rFonts w:ascii="Work Sans" w:hAnsi="Work Sans" w:cs="Arial"/>
          <w:kern w:val="0"/>
          <w:sz w:val="20"/>
          <w:szCs w:val="20"/>
          <w:lang w:val="es-CO" w:eastAsia="en-US" w:bidi="ar-SA"/>
        </w:rPr>
        <w:t>n la estación de peaje</w:t>
      </w:r>
      <w:r w:rsidR="005C3A22">
        <w:rPr>
          <w:rStyle w:val="Fuentedeprrafopredeter0"/>
          <w:rFonts w:ascii="Work Sans" w:hAnsi="Work Sans" w:cs="Arial"/>
          <w:kern w:val="0"/>
          <w:sz w:val="20"/>
          <w:szCs w:val="20"/>
          <w:lang w:val="es-CO" w:eastAsia="en-US" w:bidi="ar-SA"/>
        </w:rPr>
        <w:t xml:space="preserve"> Daza y los parágrafos 1 y 2 del artículo 1</w:t>
      </w:r>
      <w:r w:rsidR="00DD7C51">
        <w:rPr>
          <w:rStyle w:val="Fuentedeprrafopredeter0"/>
          <w:rFonts w:ascii="Work Sans" w:hAnsi="Work Sans" w:cs="Arial"/>
          <w:kern w:val="0"/>
          <w:sz w:val="20"/>
          <w:szCs w:val="20"/>
          <w:lang w:val="es-CO" w:eastAsia="en-US" w:bidi="ar-SA"/>
        </w:rPr>
        <w:t xml:space="preserve"> y el artículo 4</w:t>
      </w:r>
      <w:r w:rsidR="00C45488" w:rsidRPr="004F7856">
        <w:rPr>
          <w:rStyle w:val="Fuentedeprrafopredeter0"/>
          <w:rFonts w:ascii="Work Sans" w:hAnsi="Work Sans" w:cs="Arial"/>
          <w:kern w:val="0"/>
          <w:sz w:val="20"/>
          <w:szCs w:val="20"/>
          <w:lang w:val="es-CO" w:eastAsia="en-US" w:bidi="ar-SA"/>
        </w:rPr>
        <w:t xml:space="preserve"> de la Resolución </w:t>
      </w:r>
      <w:r w:rsidR="00BC27F7" w:rsidRPr="004F7856">
        <w:rPr>
          <w:rFonts w:ascii="Work Sans" w:hAnsi="Work Sans" w:cs="Arial"/>
          <w:kern w:val="0"/>
          <w:sz w:val="20"/>
          <w:szCs w:val="20"/>
          <w:lang w:val="es-CO" w:eastAsia="en-US" w:bidi="ar-SA"/>
        </w:rPr>
        <w:t>000</w:t>
      </w:r>
      <w:r w:rsidR="00C45488" w:rsidRPr="004F7856">
        <w:rPr>
          <w:rFonts w:ascii="Work Sans" w:hAnsi="Work Sans" w:cs="Arial"/>
          <w:kern w:val="0"/>
          <w:sz w:val="20"/>
          <w:szCs w:val="20"/>
          <w:lang w:val="es-CO" w:eastAsia="en-US" w:bidi="ar-SA"/>
        </w:rPr>
        <w:t>1129 del 28 de abril de 2015</w:t>
      </w:r>
      <w:r w:rsidR="004F7856">
        <w:rPr>
          <w:rFonts w:ascii="Work Sans" w:hAnsi="Work Sans" w:cs="Arial"/>
          <w:kern w:val="0"/>
          <w:sz w:val="20"/>
          <w:szCs w:val="20"/>
          <w:lang w:val="es-CO" w:eastAsia="en-US" w:bidi="ar-SA"/>
        </w:rPr>
        <w:t xml:space="preserve">. </w:t>
      </w:r>
    </w:p>
    <w:p w14:paraId="30DE8B03" w14:textId="77777777" w:rsidR="00C20C98" w:rsidRPr="004F7856" w:rsidRDefault="00C20C98">
      <w:pPr>
        <w:widowControl/>
        <w:jc w:val="both"/>
        <w:textAlignment w:val="auto"/>
      </w:pPr>
    </w:p>
    <w:p w14:paraId="6487B958" w14:textId="77777777" w:rsidR="0078367D" w:rsidRDefault="0078367D">
      <w:pPr>
        <w:widowControl/>
        <w:jc w:val="center"/>
        <w:textAlignment w:val="auto"/>
        <w:rPr>
          <w:rFonts w:ascii="Work Sans" w:hAnsi="Work Sans" w:cs="Arial"/>
          <w:b/>
          <w:kern w:val="0"/>
          <w:sz w:val="20"/>
          <w:szCs w:val="20"/>
          <w:lang w:val="es-CO" w:eastAsia="en-US" w:bidi="ar-SA"/>
        </w:rPr>
      </w:pPr>
    </w:p>
    <w:p w14:paraId="45DE5B35" w14:textId="77777777" w:rsidR="00C20C98" w:rsidRPr="004F7856" w:rsidRDefault="00BC27F7">
      <w:pPr>
        <w:widowControl/>
        <w:jc w:val="center"/>
        <w:textAlignment w:val="auto"/>
        <w:rPr>
          <w:rFonts w:ascii="Work Sans" w:hAnsi="Work Sans" w:cs="Arial"/>
          <w:b/>
          <w:kern w:val="0"/>
          <w:sz w:val="20"/>
          <w:szCs w:val="20"/>
          <w:lang w:val="es-CO" w:eastAsia="en-US" w:bidi="ar-SA"/>
        </w:rPr>
      </w:pPr>
      <w:r w:rsidRPr="004F7856">
        <w:rPr>
          <w:rFonts w:ascii="Work Sans" w:hAnsi="Work Sans" w:cs="Arial"/>
          <w:b/>
          <w:kern w:val="0"/>
          <w:sz w:val="20"/>
          <w:szCs w:val="20"/>
          <w:lang w:val="es-CO" w:eastAsia="en-US" w:bidi="ar-SA"/>
        </w:rPr>
        <w:t>PUBLIQUESE Y CUMPLASE</w:t>
      </w:r>
    </w:p>
    <w:p w14:paraId="7E5DCBDA" w14:textId="77777777" w:rsidR="00C20C98" w:rsidRPr="004F7856" w:rsidRDefault="00C20C98">
      <w:pPr>
        <w:widowControl/>
        <w:jc w:val="center"/>
        <w:textAlignment w:val="auto"/>
        <w:rPr>
          <w:rFonts w:ascii="Work Sans" w:hAnsi="Work Sans" w:cs="Arial"/>
          <w:kern w:val="0"/>
          <w:sz w:val="20"/>
          <w:szCs w:val="20"/>
          <w:lang w:val="es-CO" w:eastAsia="en-US" w:bidi="ar-SA"/>
        </w:rPr>
      </w:pPr>
    </w:p>
    <w:p w14:paraId="6F6274F6" w14:textId="77777777" w:rsidR="00C20C98" w:rsidRPr="004F7856" w:rsidRDefault="00C20C98">
      <w:pPr>
        <w:widowControl/>
        <w:jc w:val="center"/>
        <w:textAlignment w:val="auto"/>
        <w:rPr>
          <w:rFonts w:ascii="Work Sans" w:hAnsi="Work Sans" w:cs="Arial"/>
          <w:kern w:val="0"/>
          <w:sz w:val="20"/>
          <w:szCs w:val="20"/>
          <w:lang w:val="es-CO" w:eastAsia="en-US" w:bidi="ar-SA"/>
        </w:rPr>
      </w:pPr>
    </w:p>
    <w:p w14:paraId="2F2DEA7E" w14:textId="77777777" w:rsidR="00C20C98" w:rsidRPr="004F7856" w:rsidRDefault="00C20C98">
      <w:pPr>
        <w:pStyle w:val="Standard"/>
        <w:autoSpaceDE w:val="0"/>
        <w:ind w:left="-142" w:right="-86"/>
        <w:jc w:val="center"/>
        <w:rPr>
          <w:rFonts w:ascii="Work Sans" w:hAnsi="Work Sans" w:cs="Arial"/>
          <w:sz w:val="21"/>
          <w:szCs w:val="21"/>
          <w:lang w:bidi="hi-IN"/>
        </w:rPr>
      </w:pPr>
    </w:p>
    <w:p w14:paraId="0F89B79F" w14:textId="77777777" w:rsidR="00C20C98" w:rsidRPr="004F7856" w:rsidRDefault="00BC27F7">
      <w:pPr>
        <w:pStyle w:val="Standard"/>
        <w:autoSpaceDE w:val="0"/>
        <w:ind w:left="-142" w:right="-86"/>
        <w:jc w:val="center"/>
        <w:rPr>
          <w:rFonts w:ascii="Work Sans" w:hAnsi="Work Sans" w:cs="Arial"/>
          <w:sz w:val="21"/>
          <w:szCs w:val="21"/>
          <w:lang w:val="es-CO"/>
        </w:rPr>
      </w:pPr>
      <w:r w:rsidRPr="004F7856">
        <w:rPr>
          <w:rFonts w:ascii="Work Sans" w:hAnsi="Work Sans" w:cs="Arial"/>
          <w:sz w:val="21"/>
          <w:szCs w:val="21"/>
          <w:lang w:val="es-CO"/>
        </w:rPr>
        <w:t>${firma}</w:t>
      </w:r>
    </w:p>
    <w:p w14:paraId="31560C0E" w14:textId="77777777" w:rsidR="00C20C98" w:rsidRPr="004F7856" w:rsidRDefault="00C20C98">
      <w:pPr>
        <w:widowControl/>
        <w:jc w:val="center"/>
        <w:textAlignment w:val="auto"/>
        <w:rPr>
          <w:rFonts w:ascii="Work Sans" w:hAnsi="Work Sans" w:cs="Arial"/>
          <w:kern w:val="0"/>
          <w:sz w:val="20"/>
          <w:szCs w:val="20"/>
          <w:lang w:val="es-CO" w:eastAsia="en-US" w:bidi="ar-SA"/>
        </w:rPr>
      </w:pPr>
    </w:p>
    <w:p w14:paraId="4D193EE4" w14:textId="77777777" w:rsidR="00C20C98" w:rsidRPr="004F7856" w:rsidRDefault="00BC27F7">
      <w:pPr>
        <w:pStyle w:val="Ttulo1"/>
        <w:ind w:right="-1"/>
        <w:rPr>
          <w:rFonts w:ascii="Work Sans" w:hAnsi="Work Sans"/>
          <w:sz w:val="20"/>
        </w:rPr>
      </w:pPr>
      <w:r w:rsidRPr="004F7856">
        <w:rPr>
          <w:rFonts w:ascii="Work Sans" w:hAnsi="Work Sans"/>
          <w:sz w:val="20"/>
        </w:rPr>
        <w:t>ANGELA MARÍA OROZCO GÓMEZ</w:t>
      </w:r>
    </w:p>
    <w:p w14:paraId="5C8E8772" w14:textId="77777777" w:rsidR="00C20C98" w:rsidRPr="004F7856" w:rsidRDefault="00C20C98">
      <w:pPr>
        <w:pStyle w:val="Standard"/>
      </w:pPr>
    </w:p>
    <w:p w14:paraId="62EEF95A" w14:textId="77777777" w:rsidR="00C20C98" w:rsidRDefault="00C20C98">
      <w:pPr>
        <w:pStyle w:val="Standard"/>
      </w:pPr>
    </w:p>
    <w:p w14:paraId="04E0E2D7" w14:textId="77777777" w:rsidR="00C20C98" w:rsidRDefault="00C20C98">
      <w:pPr>
        <w:pStyle w:val="Standard"/>
      </w:pPr>
    </w:p>
    <w:p w14:paraId="426B1039" w14:textId="77777777" w:rsidR="00C20C98" w:rsidRDefault="00BC27F7">
      <w:pPr>
        <w:pStyle w:val="Standard"/>
        <w:rPr>
          <w:rFonts w:ascii="Work Sans" w:hAnsi="Work Sans"/>
          <w:sz w:val="14"/>
          <w:szCs w:val="14"/>
        </w:rPr>
      </w:pPr>
      <w:r>
        <w:rPr>
          <w:rFonts w:ascii="Work Sans" w:hAnsi="Work Sans"/>
          <w:sz w:val="14"/>
          <w:szCs w:val="14"/>
        </w:rPr>
        <w:t>Juan Esteban Gil Chavarria, Director General – INVÍAS.</w:t>
      </w:r>
    </w:p>
    <w:p w14:paraId="205A2470" w14:textId="77777777" w:rsidR="00C20C98" w:rsidRDefault="00BC27F7">
      <w:pPr>
        <w:pStyle w:val="Standard"/>
        <w:rPr>
          <w:rFonts w:ascii="Work Sans" w:hAnsi="Work Sans"/>
          <w:sz w:val="14"/>
          <w:szCs w:val="14"/>
        </w:rPr>
      </w:pPr>
      <w:r>
        <w:rPr>
          <w:rFonts w:ascii="Work Sans" w:hAnsi="Work Sans"/>
          <w:sz w:val="14"/>
          <w:szCs w:val="14"/>
        </w:rPr>
        <w:t>Sol Ángel Cala Acosta, Jefe Oficina Asesora de Jurídica - Ministra de Transporte.</w:t>
      </w:r>
    </w:p>
    <w:p w14:paraId="3D34AC56" w14:textId="77777777" w:rsidR="00C20C98" w:rsidRDefault="00BC27F7">
      <w:pPr>
        <w:pStyle w:val="Standard"/>
        <w:rPr>
          <w:rFonts w:ascii="Work Sans" w:hAnsi="Work Sans"/>
          <w:sz w:val="14"/>
          <w:szCs w:val="14"/>
        </w:rPr>
      </w:pPr>
      <w:r>
        <w:rPr>
          <w:rFonts w:ascii="Work Sans" w:hAnsi="Work Sans"/>
          <w:sz w:val="14"/>
          <w:szCs w:val="14"/>
        </w:rPr>
        <w:t>Juan Felipe Sanabria Saetta, Jefe Oficina de Regulación Económica – Ministerio de Transporte.</w:t>
      </w:r>
    </w:p>
    <w:p w14:paraId="28C43C4E" w14:textId="77777777" w:rsidR="00C20C98" w:rsidRDefault="00BC27F7">
      <w:pPr>
        <w:pStyle w:val="Standard"/>
        <w:rPr>
          <w:rFonts w:ascii="Work Sans" w:hAnsi="Work Sans"/>
          <w:sz w:val="14"/>
          <w:szCs w:val="14"/>
        </w:rPr>
      </w:pPr>
      <w:r>
        <w:rPr>
          <w:rFonts w:ascii="Work Sans" w:hAnsi="Work Sans"/>
          <w:sz w:val="14"/>
          <w:szCs w:val="14"/>
        </w:rPr>
        <w:t>Claudia Patricia Roa Orjuela, Asesora Ministerio de Transporte.</w:t>
      </w:r>
    </w:p>
    <w:p w14:paraId="0B4A46BE" w14:textId="77777777" w:rsidR="00C20C98" w:rsidRDefault="00BC27F7">
      <w:pPr>
        <w:pStyle w:val="Standard"/>
        <w:rPr>
          <w:rFonts w:ascii="Work Sans" w:hAnsi="Work Sans"/>
          <w:sz w:val="14"/>
          <w:szCs w:val="14"/>
        </w:rPr>
      </w:pPr>
      <w:r>
        <w:rPr>
          <w:rFonts w:ascii="Work Sans" w:hAnsi="Work Sans"/>
          <w:sz w:val="14"/>
          <w:szCs w:val="14"/>
        </w:rPr>
        <w:t>Magda Paola Suárez Alejo, Abogada Ministerio de Transporte.</w:t>
      </w:r>
    </w:p>
    <w:p w14:paraId="3B88A8A9" w14:textId="77777777" w:rsidR="00C20C98" w:rsidRDefault="00BC27F7">
      <w:pPr>
        <w:pStyle w:val="Standard"/>
        <w:rPr>
          <w:rFonts w:ascii="Work Sans" w:hAnsi="Work Sans"/>
          <w:sz w:val="14"/>
          <w:szCs w:val="14"/>
        </w:rPr>
      </w:pPr>
      <w:r>
        <w:rPr>
          <w:rFonts w:ascii="Work Sans" w:hAnsi="Work Sans"/>
          <w:sz w:val="14"/>
          <w:szCs w:val="14"/>
        </w:rPr>
        <w:t>Beatriz Helena Garcia Guzman, Jefe Oficina Asesora Jurídica - INVIAS.</w:t>
      </w:r>
    </w:p>
    <w:p w14:paraId="04BB39BC" w14:textId="77777777" w:rsidR="00C20C98" w:rsidRDefault="00BC27F7">
      <w:pPr>
        <w:pStyle w:val="Standard"/>
        <w:rPr>
          <w:rFonts w:ascii="Work Sans" w:hAnsi="Work Sans"/>
          <w:sz w:val="14"/>
          <w:szCs w:val="14"/>
        </w:rPr>
      </w:pPr>
      <w:r>
        <w:rPr>
          <w:rFonts w:ascii="Work Sans" w:hAnsi="Work Sans"/>
          <w:sz w:val="14"/>
          <w:szCs w:val="14"/>
        </w:rPr>
        <w:t>Guillermo Toro Acuña, Director Técnico - INVIAS</w:t>
      </w:r>
    </w:p>
    <w:p w14:paraId="1DA288B6" w14:textId="77777777" w:rsidR="00C20C98" w:rsidRDefault="00BC27F7">
      <w:pPr>
        <w:pStyle w:val="Standard"/>
        <w:rPr>
          <w:rFonts w:ascii="Work Sans" w:hAnsi="Work Sans"/>
          <w:sz w:val="14"/>
          <w:szCs w:val="14"/>
        </w:rPr>
      </w:pPr>
      <w:r>
        <w:rPr>
          <w:rFonts w:ascii="Work Sans" w:hAnsi="Work Sans"/>
          <w:sz w:val="14"/>
          <w:szCs w:val="14"/>
        </w:rPr>
        <w:t>María Victoria Arbeláez, Abogada Dirección Técnica – INVIAS.</w:t>
      </w:r>
    </w:p>
    <w:p w14:paraId="7F63766B" w14:textId="77777777" w:rsidR="00C20C98" w:rsidRDefault="00BC27F7">
      <w:pPr>
        <w:pStyle w:val="Standard"/>
        <w:rPr>
          <w:rFonts w:ascii="Work Sans" w:hAnsi="Work Sans"/>
          <w:sz w:val="14"/>
          <w:szCs w:val="14"/>
        </w:rPr>
      </w:pPr>
      <w:r>
        <w:rPr>
          <w:rFonts w:ascii="Work Sans" w:hAnsi="Work Sans"/>
          <w:sz w:val="14"/>
          <w:szCs w:val="14"/>
        </w:rPr>
        <w:t xml:space="preserve">Ramón Elberto Lobo Arias, Coordinador Grupo Peajes y Valorización </w:t>
      </w:r>
      <w:r w:rsidR="00945C51">
        <w:rPr>
          <w:rFonts w:ascii="Work Sans" w:hAnsi="Work Sans"/>
          <w:sz w:val="14"/>
          <w:szCs w:val="14"/>
        </w:rPr>
        <w:t>–</w:t>
      </w:r>
      <w:r>
        <w:rPr>
          <w:rFonts w:ascii="Work Sans" w:hAnsi="Work Sans"/>
          <w:sz w:val="14"/>
          <w:szCs w:val="14"/>
        </w:rPr>
        <w:t xml:space="preserve"> INVIAS</w:t>
      </w:r>
    </w:p>
    <w:sectPr w:rsidR="00C20C98">
      <w:headerReference w:type="default" r:id="rId11"/>
      <w:headerReference w:type="first" r:id="rId12"/>
      <w:pgSz w:w="11907" w:h="18711"/>
      <w:pgMar w:top="1417" w:right="1701" w:bottom="1417" w:left="1701" w:header="850" w:footer="567" w:gutter="0"/>
      <w:pgBorders>
        <w:top w:val="single" w:sz="4" w:space="15" w:color="000000"/>
        <w:left w:val="single" w:sz="4" w:space="15" w:color="000000"/>
        <w:bottom w:val="single" w:sz="4" w:space="15" w:color="000000"/>
        <w:right w:val="single" w:sz="4" w:space="15" w:color="000000"/>
      </w:pgBorders>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8501D4B" w14:textId="77777777" w:rsidR="00FE6A2D" w:rsidRDefault="00FE6A2D">
      <w:r>
        <w:separator/>
      </w:r>
    </w:p>
  </w:endnote>
  <w:endnote w:type="continuationSeparator" w:id="0">
    <w:p w14:paraId="165EF419" w14:textId="77777777" w:rsidR="00FE6A2D" w:rsidRDefault="00FE6A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iberation Serif">
    <w:altName w:val="Times New Roman"/>
    <w:panose1 w:val="00000000000000000000"/>
    <w:charset w:val="00"/>
    <w:family w:val="roman"/>
    <w:notTrueType/>
    <w:pitch w:val="variable"/>
    <w:sig w:usb0="00000003" w:usb1="00000000" w:usb2="00000000" w:usb3="00000000" w:csb0="00000001" w:csb1="00000000"/>
  </w:font>
  <w:font w:name="Lohit Devanagari">
    <w:altName w:val="Times New Roman"/>
    <w:panose1 w:val="00000000000000000000"/>
    <w:charset w:val="00"/>
    <w:family w:val="auto"/>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Mangal">
    <w:altName w:val="Courier New"/>
    <w:panose1 w:val="00000400000000000000"/>
    <w:charset w:val="00"/>
    <w:family w:val="roman"/>
    <w:pitch w:val="variable"/>
    <w:sig w:usb0="00008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ourier">
    <w:panose1 w:val="02070409020205020404"/>
    <w:charset w:val="00"/>
    <w:family w:val="modern"/>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Work Sans">
    <w:altName w:val="Calibri"/>
    <w:panose1 w:val="00000500000000000000"/>
    <w:charset w:val="00"/>
    <w:family w:val="auto"/>
    <w:pitch w:val="variable"/>
    <w:sig w:usb0="00000007" w:usb1="00000001" w:usb2="00000000" w:usb3="00000000" w:csb0="00000093" w:csb1="00000000"/>
  </w:font>
  <w:font w:name="Futura Bk BT">
    <w:altName w:val="Century Gothic"/>
    <w:panose1 w:val="00000000000000000000"/>
    <w:charset w:val="00"/>
    <w:family w:val="swiss"/>
    <w:notTrueType/>
    <w:pitch w:val="variable"/>
    <w:sig w:usb0="00000003" w:usb1="00000000" w:usb2="00000000" w:usb3="00000000" w:csb0="00000001" w:csb1="00000000"/>
  </w:font>
  <w:font w:name="DengXian Light">
    <w:charset w:val="86"/>
    <w:family w:val="auto"/>
    <w:pitch w:val="variable"/>
    <w:sig w:usb0="A00002BF" w:usb1="38CF7CFA" w:usb2="00000016" w:usb3="00000000" w:csb0="0004000F" w:csb1="00000000"/>
  </w:font>
  <w:font w:name="ArialNarrow">
    <w:panose1 w:val="00000000000000000000"/>
    <w:charset w:val="00"/>
    <w:family w:val="swiss"/>
    <w:notTrueType/>
    <w:pitch w:val="default"/>
    <w:sig w:usb0="00000003" w:usb1="00000000" w:usb2="00000000" w:usb3="00000000" w:csb0="00000001" w:csb1="00000000"/>
  </w:font>
  <w:font w:name="ArialNarrow-Italic">
    <w:panose1 w:val="00000000000000000000"/>
    <w:charset w:val="00"/>
    <w:family w:val="auto"/>
    <w:notTrueType/>
    <w:pitch w:val="default"/>
    <w:sig w:usb0="00000003" w:usb1="00000000" w:usb2="00000000" w:usb3="00000000" w:csb0="00000001" w:csb1="00000000"/>
  </w:font>
  <w:font w:name="Code3of9">
    <w:altName w:val="Calibri"/>
    <w:panose1 w:val="00000000000000000000"/>
    <w:charset w:val="00"/>
    <w:family w:val="auto"/>
    <w:notTrueType/>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D5BD0AB" w14:textId="77777777" w:rsidR="00FE6A2D" w:rsidRDefault="00FE6A2D">
      <w:r>
        <w:rPr>
          <w:color w:val="000000"/>
        </w:rPr>
        <w:separator/>
      </w:r>
    </w:p>
  </w:footnote>
  <w:footnote w:type="continuationSeparator" w:id="0">
    <w:p w14:paraId="2E757157" w14:textId="77777777" w:rsidR="00FE6A2D" w:rsidRDefault="00FE6A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FCF4810" w14:textId="77777777" w:rsidR="00344896" w:rsidRDefault="00803F88">
    <w:pPr>
      <w:tabs>
        <w:tab w:val="left" w:pos="2505"/>
      </w:tabs>
    </w:pPr>
    <w:r w:rsidRPr="00803F88">
      <w:rPr>
        <w:noProof/>
        <w:lang w:val="es-CO" w:eastAsia="es-CO" w:bidi="ar-SA"/>
      </w:rPr>
      <w:drawing>
        <wp:inline distT="0" distB="0" distL="0" distR="0" wp14:anchorId="02D55D6C" wp14:editId="4E6D9921">
          <wp:extent cx="2828925" cy="638175"/>
          <wp:effectExtent l="0" t="0" r="0" b="0"/>
          <wp:docPr id="2" name="Imagen 2" descr="C:\Users\soporteorfeo\Desktop\libre office plantillas ORFEO\Nuevas 2\Logo Orfeo (0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C:\Users\soporteorfeo\Desktop\libre office plantillas ORFEO\Nuevas 2\Logo Orfeo (0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28925" cy="638175"/>
                  </a:xfrm>
                  <a:prstGeom prst="rect">
                    <a:avLst/>
                  </a:prstGeom>
                  <a:noFill/>
                  <a:ln>
                    <a:noFill/>
                  </a:ln>
                </pic:spPr>
              </pic:pic>
            </a:graphicData>
          </a:graphic>
        </wp:inline>
      </w:drawing>
    </w:r>
  </w:p>
  <w:p w14:paraId="1E0C41E4" w14:textId="77777777" w:rsidR="00344896" w:rsidRDefault="00344896"/>
  <w:p w14:paraId="57488485" w14:textId="77777777" w:rsidR="00344896" w:rsidRDefault="00BC27F7">
    <w:pPr>
      <w:pStyle w:val="Encabezado"/>
      <w:jc w:val="center"/>
    </w:pPr>
    <w:r>
      <w:rPr>
        <w:rFonts w:ascii="Work Sans" w:hAnsi="Work Sans" w:cs="Arial"/>
        <w:b/>
      </w:rPr>
      <w:t>RESOLUCIÓN NÚMERO</w:t>
    </w:r>
    <w:r>
      <w:rPr>
        <w:rFonts w:ascii="Work Sans" w:hAnsi="Work Sans" w:cs="Arial"/>
        <w:b/>
        <w:sz w:val="36"/>
      </w:rPr>
      <w:t xml:space="preserve"> </w:t>
    </w:r>
    <w:r>
      <w:rPr>
        <w:rFonts w:ascii="Work Sans" w:hAnsi="Work Sans"/>
        <w:b/>
        <w:sz w:val="28"/>
      </w:rPr>
      <w:t>*RAD_S*</w:t>
    </w:r>
  </w:p>
  <w:p w14:paraId="1410C11B" w14:textId="77777777" w:rsidR="00344896" w:rsidRDefault="00BC27F7">
    <w:pPr>
      <w:pStyle w:val="Encabezado"/>
      <w:jc w:val="center"/>
    </w:pPr>
    <w:r>
      <w:rPr>
        <w:rFonts w:ascii="Work Sans" w:hAnsi="Work Sans"/>
        <w:sz w:val="20"/>
      </w:rPr>
      <w:t xml:space="preserve">de </w:t>
    </w:r>
    <w:r>
      <w:rPr>
        <w:rFonts w:ascii="Work Sans" w:hAnsi="Work Sans" w:cs="Arial"/>
        <w:sz w:val="20"/>
        <w:lang w:val="es-CO"/>
      </w:rPr>
      <w:t>*F_RAD_S*</w:t>
    </w:r>
  </w:p>
  <w:p w14:paraId="61CCD3AA" w14:textId="77777777" w:rsidR="00344896" w:rsidRDefault="00BC27F7">
    <w:pPr>
      <w:pStyle w:val="Encabezado"/>
      <w:jc w:val="center"/>
      <w:rPr>
        <w:rFonts w:ascii="Code3of9" w:hAnsi="Code3of9" w:cs="Tahoma"/>
        <w:sz w:val="36"/>
        <w:szCs w:val="40"/>
      </w:rPr>
    </w:pPr>
    <w:r>
      <w:rPr>
        <w:rFonts w:ascii="Code3of9" w:hAnsi="Code3of9" w:cs="Tahoma"/>
        <w:sz w:val="36"/>
        <w:szCs w:val="40"/>
      </w:rPr>
      <w:t>**RAD_S**</w:t>
    </w:r>
  </w:p>
  <w:p w14:paraId="09E11D11" w14:textId="77777777" w:rsidR="00344896" w:rsidRDefault="00344896">
    <w:pPr>
      <w:pStyle w:val="Encabezado"/>
      <w:jc w:val="center"/>
      <w:rPr>
        <w:rFonts w:ascii="Code3of9" w:hAnsi="Code3of9" w:cs="Tahoma"/>
        <w:sz w:val="36"/>
        <w:szCs w:val="40"/>
      </w:rPr>
    </w:pPr>
  </w:p>
  <w:p w14:paraId="1C24D5C4" w14:textId="77777777" w:rsidR="00404F44" w:rsidRPr="00404F44" w:rsidRDefault="00BC27F7" w:rsidP="00404F44">
    <w:pPr>
      <w:jc w:val="center"/>
      <w:rPr>
        <w:i/>
      </w:rPr>
    </w:pPr>
    <w:r w:rsidRPr="00404F44">
      <w:rPr>
        <w:rFonts w:ascii="Work Sans" w:hAnsi="Work Sans"/>
        <w:i/>
        <w:sz w:val="20"/>
        <w:szCs w:val="20"/>
      </w:rPr>
      <w:t xml:space="preserve">“Por la cual se emite </w:t>
    </w:r>
    <w:r w:rsidR="00404F44">
      <w:rPr>
        <w:rFonts w:ascii="Work Sans" w:hAnsi="Work Sans"/>
        <w:i/>
        <w:sz w:val="20"/>
        <w:szCs w:val="20"/>
      </w:rPr>
      <w:t>concepto vinculante previo para</w:t>
    </w:r>
    <w:r w:rsidR="00404F44" w:rsidRPr="00404F44">
      <w:rPr>
        <w:rFonts w:ascii="Work Sans" w:hAnsi="Work Sans" w:cs="Arial"/>
        <w:i/>
        <w:color w:val="000000"/>
        <w:sz w:val="20"/>
        <w:szCs w:val="20"/>
      </w:rPr>
      <w:t xml:space="preserve"> unificar el recaudo de peaje de las estaciones de peaje Daza y Cano, en la estación de peaje denominada Cano, localizada en el PR 36+0000 de la carretera Pasto – Cano – Mojarras, Ruta 2502.</w:t>
    </w:r>
    <w:r w:rsidR="00404F44">
      <w:rPr>
        <w:rFonts w:ascii="Work Sans" w:hAnsi="Work Sans" w:cs="Arial"/>
        <w:i/>
        <w:color w:val="000000"/>
        <w:sz w:val="20"/>
        <w:szCs w:val="20"/>
      </w:rPr>
      <w:t>”</w:t>
    </w:r>
  </w:p>
  <w:p w14:paraId="4C2989B5" w14:textId="77777777" w:rsidR="00344896" w:rsidRPr="00404F44" w:rsidRDefault="00344896" w:rsidP="00404F44">
    <w:pPr>
      <w:widowControl/>
      <w:jc w:val="center"/>
      <w:textAlignment w:val="auto"/>
      <w:rPr>
        <w:rFonts w:ascii="Work Sans" w:hAnsi="Work Sans"/>
        <w:i/>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6777259" w14:textId="77777777" w:rsidR="00344896" w:rsidRDefault="00344896">
    <w:pPr>
      <w:rPr>
        <w:lang w:val="es-CO" w:eastAsia="es-CO" w:bidi="ar-SA"/>
      </w:rPr>
    </w:pPr>
  </w:p>
  <w:p w14:paraId="7F6A89AF" w14:textId="77777777" w:rsidR="00344896" w:rsidRDefault="00803F88">
    <w:r w:rsidRPr="00803F88">
      <w:rPr>
        <w:noProof/>
        <w:lang w:val="es-CO" w:eastAsia="es-CO" w:bidi="ar-SA"/>
      </w:rPr>
      <w:drawing>
        <wp:inline distT="0" distB="0" distL="0" distR="0" wp14:anchorId="5D9856DD" wp14:editId="38493EE4">
          <wp:extent cx="2828925" cy="638175"/>
          <wp:effectExtent l="0" t="0" r="0" b="0"/>
          <wp:docPr id="4" name="Imagen 2" descr="C:\Users\soporteorfeo\Desktop\libre office plantillas ORFEO\Nuevas 2\Logo Orfeo (0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C:\Users\soporteorfeo\Desktop\libre office plantillas ORFEO\Nuevas 2\Logo Orfeo (0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28925" cy="638175"/>
                  </a:xfrm>
                  <a:prstGeom prst="rect">
                    <a:avLst/>
                  </a:prstGeom>
                  <a:noFill/>
                  <a:ln>
                    <a:noFill/>
                  </a:ln>
                </pic:spPr>
              </pic:pic>
            </a:graphicData>
          </a:graphic>
        </wp:inline>
      </w:drawing>
    </w:r>
  </w:p>
  <w:p w14:paraId="3530F81C" w14:textId="77777777" w:rsidR="00344896" w:rsidRDefault="00344896"/>
  <w:p w14:paraId="32AB15A0" w14:textId="77777777" w:rsidR="00344896" w:rsidRDefault="00BC27F7">
    <w:pPr>
      <w:pStyle w:val="Encabezado"/>
      <w:jc w:val="center"/>
    </w:pPr>
    <w:r>
      <w:rPr>
        <w:rFonts w:ascii="Work Sans" w:hAnsi="Work Sans" w:cs="Arial"/>
        <w:b/>
      </w:rPr>
      <w:t>RESOLUCIÓN NÚMERO</w:t>
    </w:r>
    <w:r>
      <w:rPr>
        <w:rFonts w:ascii="Work Sans" w:hAnsi="Work Sans" w:cs="Arial"/>
        <w:b/>
        <w:sz w:val="36"/>
      </w:rPr>
      <w:t xml:space="preserve"> </w:t>
    </w:r>
    <w:r>
      <w:rPr>
        <w:rFonts w:ascii="Work Sans" w:hAnsi="Work Sans"/>
        <w:b/>
        <w:sz w:val="28"/>
      </w:rPr>
      <w:t>*RAD_S*</w:t>
    </w:r>
  </w:p>
  <w:p w14:paraId="68697197" w14:textId="77777777" w:rsidR="00344896" w:rsidRDefault="00BC27F7">
    <w:pPr>
      <w:pStyle w:val="Encabezado"/>
      <w:jc w:val="center"/>
    </w:pPr>
    <w:r>
      <w:rPr>
        <w:rFonts w:ascii="Work Sans" w:hAnsi="Work Sans"/>
        <w:sz w:val="20"/>
      </w:rPr>
      <w:t xml:space="preserve">de </w:t>
    </w:r>
    <w:r>
      <w:rPr>
        <w:rFonts w:ascii="Work Sans" w:hAnsi="Work Sans" w:cs="Arial"/>
        <w:sz w:val="20"/>
        <w:lang w:val="es-CO"/>
      </w:rPr>
      <w:t>*F_RAD_S*</w:t>
    </w:r>
  </w:p>
  <w:p w14:paraId="30379F39" w14:textId="77777777" w:rsidR="00344896" w:rsidRDefault="00BC27F7">
    <w:pPr>
      <w:pStyle w:val="Encabezado"/>
      <w:jc w:val="center"/>
      <w:rPr>
        <w:rFonts w:ascii="Code3of9" w:hAnsi="Code3of9" w:cs="Tahoma"/>
        <w:sz w:val="36"/>
        <w:szCs w:val="40"/>
      </w:rPr>
    </w:pPr>
    <w:r>
      <w:rPr>
        <w:rFonts w:ascii="Code3of9" w:hAnsi="Code3of9" w:cs="Tahoma"/>
        <w:sz w:val="36"/>
        <w:szCs w:val="40"/>
      </w:rPr>
      <w:t>**RAD_S**</w:t>
    </w:r>
  </w:p>
  <w:p w14:paraId="60E420BA" w14:textId="77777777" w:rsidR="00344896" w:rsidRDefault="00344896">
    <w:pPr>
      <w:pStyle w:val="Encabezado"/>
      <w:jc w:val="center"/>
      <w:rPr>
        <w:rFonts w:ascii="Code3of9" w:hAnsi="Code3of9" w:cs="Tahoma"/>
        <w:i/>
        <w:sz w:val="36"/>
        <w:szCs w:val="40"/>
      </w:rPr>
    </w:pPr>
  </w:p>
  <w:p w14:paraId="2AC8634D" w14:textId="77777777" w:rsidR="00344896" w:rsidRPr="00EE1280" w:rsidRDefault="00EE1280" w:rsidP="00EE1280">
    <w:pPr>
      <w:jc w:val="center"/>
      <w:rPr>
        <w:i/>
      </w:rPr>
    </w:pPr>
    <w:r>
      <w:rPr>
        <w:rStyle w:val="Fuentedeprrafopredeter0"/>
        <w:rFonts w:ascii="Work Sans" w:hAnsi="Work Sans" w:cs="Arial"/>
        <w:i/>
        <w:kern w:val="0"/>
        <w:sz w:val="20"/>
        <w:szCs w:val="20"/>
        <w:lang w:val="es-CO" w:eastAsia="en-US" w:bidi="ar-SA"/>
      </w:rPr>
      <w:t>“</w:t>
    </w:r>
    <w:r w:rsidRPr="00EE1280">
      <w:rPr>
        <w:rStyle w:val="Fuentedeprrafopredeter0"/>
        <w:rFonts w:ascii="Work Sans" w:hAnsi="Work Sans" w:cs="Arial"/>
        <w:i/>
        <w:kern w:val="0"/>
        <w:sz w:val="20"/>
        <w:szCs w:val="20"/>
        <w:lang w:val="es-CO" w:eastAsia="en-US" w:bidi="ar-SA"/>
      </w:rPr>
      <w:t>Por la cual se emite</w:t>
    </w:r>
    <w:r w:rsidRPr="00EE1280">
      <w:rPr>
        <w:rFonts w:ascii="Work Sans" w:hAnsi="Work Sans" w:cs="Arial"/>
        <w:i/>
        <w:sz w:val="20"/>
        <w:szCs w:val="20"/>
      </w:rPr>
      <w:t xml:space="preserve"> concepto vinculante previo para unificar el recaudo de peaje de las estaciones de peaje Daza y Cano, en la estación de peaje denominada Cano, localizada en el PR 36+0000 de la carretera Pasto – Cano – Mojarras, Ruta 2502</w:t>
    </w:r>
    <w:r>
      <w:rPr>
        <w:rFonts w:ascii="Work Sans" w:hAnsi="Work Sans" w:cs="Arial"/>
        <w:i/>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990FB3"/>
    <w:multiLevelType w:val="multilevel"/>
    <w:tmpl w:val="029C906E"/>
    <w:styleLink w:val="WW8Num4"/>
    <w:lvl w:ilvl="0">
      <w:start w:val="1"/>
      <w:numFmt w:val="decimal"/>
      <w:lvlText w:val="%1."/>
      <w:lvlJc w:val="left"/>
      <w:rPr>
        <w:rFonts w:cs="Times New Roman"/>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1" w15:restartNumberingAfterBreak="0">
    <w:nsid w:val="05E42619"/>
    <w:multiLevelType w:val="multilevel"/>
    <w:tmpl w:val="B06A4002"/>
    <w:styleLink w:val="WW8Num3"/>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3."/>
      <w:lvlJc w:val="right"/>
      <w:rPr>
        <w:rFonts w:cs="Times New Roman"/>
      </w:rPr>
    </w:lvl>
    <w:lvl w:ilvl="3">
      <w:start w:val="1"/>
      <w:numFmt w:val="decimal"/>
      <w:lvlText w:val="%4."/>
      <w:lvlJc w:val="left"/>
      <w:rPr>
        <w:rFonts w:cs="Times New Roman"/>
      </w:rPr>
    </w:lvl>
    <w:lvl w:ilvl="4">
      <w:start w:val="1"/>
      <w:numFmt w:val="lowerLetter"/>
      <w:lvlText w:val="%5."/>
      <w:lvlJc w:val="left"/>
      <w:rPr>
        <w:rFonts w:cs="Times New Roman"/>
      </w:rPr>
    </w:lvl>
    <w:lvl w:ilvl="5">
      <w:start w:val="1"/>
      <w:numFmt w:val="lowerRoman"/>
      <w:lvlText w:val="%6."/>
      <w:lvlJc w:val="right"/>
      <w:rPr>
        <w:rFonts w:cs="Times New Roman"/>
      </w:rPr>
    </w:lvl>
    <w:lvl w:ilvl="6">
      <w:start w:val="1"/>
      <w:numFmt w:val="decimal"/>
      <w:lvlText w:val="%7."/>
      <w:lvlJc w:val="left"/>
      <w:rPr>
        <w:rFonts w:cs="Times New Roman"/>
      </w:rPr>
    </w:lvl>
    <w:lvl w:ilvl="7">
      <w:start w:val="1"/>
      <w:numFmt w:val="lowerLetter"/>
      <w:lvlText w:val="%8."/>
      <w:lvlJc w:val="left"/>
      <w:rPr>
        <w:rFonts w:cs="Times New Roman"/>
      </w:rPr>
    </w:lvl>
    <w:lvl w:ilvl="8">
      <w:start w:val="1"/>
      <w:numFmt w:val="lowerRoman"/>
      <w:lvlText w:val="%9."/>
      <w:lvlJc w:val="right"/>
      <w:rPr>
        <w:rFonts w:cs="Times New Roman"/>
      </w:rPr>
    </w:lvl>
  </w:abstractNum>
  <w:abstractNum w:abstractNumId="2" w15:restartNumberingAfterBreak="0">
    <w:nsid w:val="0E435973"/>
    <w:multiLevelType w:val="multilevel"/>
    <w:tmpl w:val="9DFC4586"/>
    <w:styleLink w:val="WW8Num15"/>
    <w:lvl w:ilvl="0">
      <w:start w:val="1"/>
      <w:numFmt w:val="decimal"/>
      <w:lvlText w:val="%1."/>
      <w:lvlJc w:val="left"/>
      <w:rPr>
        <w:rFonts w:cs="Times New Roman"/>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3" w15:restartNumberingAfterBreak="0">
    <w:nsid w:val="17D50E95"/>
    <w:multiLevelType w:val="multilevel"/>
    <w:tmpl w:val="39A8365C"/>
    <w:styleLink w:val="WW8Num5"/>
    <w:lvl w:ilvl="0">
      <w:start w:val="1"/>
      <w:numFmt w:val="decimal"/>
      <w:lvlText w:val="%1."/>
      <w:lvlJc w:val="left"/>
      <w:rPr>
        <w:rFonts w:cs="Times New Roman"/>
        <w:b w:val="0"/>
      </w:rPr>
    </w:lvl>
    <w:lvl w:ilvl="1">
      <w:start w:val="1"/>
      <w:numFmt w:val="lowerLetter"/>
      <w:lvlText w:val="%2."/>
      <w:lvlJc w:val="left"/>
      <w:rPr>
        <w:rFonts w:cs="Times New Roman"/>
      </w:rPr>
    </w:lvl>
    <w:lvl w:ilvl="2">
      <w:start w:val="1"/>
      <w:numFmt w:val="lowerRoman"/>
      <w:lvlText w:val="%3."/>
      <w:lvlJc w:val="right"/>
      <w:rPr>
        <w:rFonts w:cs="Times New Roman"/>
      </w:rPr>
    </w:lvl>
    <w:lvl w:ilvl="3">
      <w:start w:val="1"/>
      <w:numFmt w:val="decimal"/>
      <w:lvlText w:val="%4."/>
      <w:lvlJc w:val="left"/>
      <w:rPr>
        <w:rFonts w:cs="Times New Roman"/>
      </w:rPr>
    </w:lvl>
    <w:lvl w:ilvl="4">
      <w:start w:val="1"/>
      <w:numFmt w:val="lowerLetter"/>
      <w:lvlText w:val="%5."/>
      <w:lvlJc w:val="left"/>
      <w:rPr>
        <w:rFonts w:cs="Times New Roman"/>
      </w:rPr>
    </w:lvl>
    <w:lvl w:ilvl="5">
      <w:start w:val="1"/>
      <w:numFmt w:val="lowerRoman"/>
      <w:lvlText w:val="%6."/>
      <w:lvlJc w:val="right"/>
      <w:rPr>
        <w:rFonts w:cs="Times New Roman"/>
      </w:rPr>
    </w:lvl>
    <w:lvl w:ilvl="6">
      <w:start w:val="1"/>
      <w:numFmt w:val="decimal"/>
      <w:lvlText w:val="%7."/>
      <w:lvlJc w:val="left"/>
      <w:rPr>
        <w:rFonts w:cs="Times New Roman"/>
      </w:rPr>
    </w:lvl>
    <w:lvl w:ilvl="7">
      <w:start w:val="1"/>
      <w:numFmt w:val="lowerLetter"/>
      <w:lvlText w:val="%8."/>
      <w:lvlJc w:val="left"/>
      <w:rPr>
        <w:rFonts w:cs="Times New Roman"/>
      </w:rPr>
    </w:lvl>
    <w:lvl w:ilvl="8">
      <w:start w:val="1"/>
      <w:numFmt w:val="lowerRoman"/>
      <w:lvlText w:val="%9."/>
      <w:lvlJc w:val="right"/>
      <w:rPr>
        <w:rFonts w:cs="Times New Roman"/>
      </w:rPr>
    </w:lvl>
  </w:abstractNum>
  <w:abstractNum w:abstractNumId="4" w15:restartNumberingAfterBreak="0">
    <w:nsid w:val="25876169"/>
    <w:multiLevelType w:val="multilevel"/>
    <w:tmpl w:val="75E8CEE4"/>
    <w:styleLink w:val="WW8Num17"/>
    <w:lvl w:ilvl="0">
      <w:start w:val="1"/>
      <w:numFmt w:val="decimal"/>
      <w:lvlText w:val="%1."/>
      <w:lvlJc w:val="left"/>
      <w:rPr>
        <w:rFonts w:cs="Times New Roman"/>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5" w15:restartNumberingAfterBreak="0">
    <w:nsid w:val="2835466C"/>
    <w:multiLevelType w:val="multilevel"/>
    <w:tmpl w:val="E18C4836"/>
    <w:styleLink w:val="WW8Num9"/>
    <w:lvl w:ilvl="0">
      <w:numFmt w:val="bullet"/>
      <w:lvlText w:val=""/>
      <w:lvlJc w:val="left"/>
      <w:rPr>
        <w:rFonts w:ascii="Symbol" w:hAnsi="Symbol"/>
      </w:rPr>
    </w:lvl>
    <w:lvl w:ilvl="1">
      <w:numFmt w:val="bullet"/>
      <w:lvlText w:val="o"/>
      <w:lvlJc w:val="left"/>
      <w:rPr>
        <w:rFonts w:ascii="Courier New" w:hAnsi="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rPr>
    </w:lvl>
    <w:lvl w:ilvl="8">
      <w:numFmt w:val="bullet"/>
      <w:lvlText w:val=""/>
      <w:lvlJc w:val="left"/>
      <w:rPr>
        <w:rFonts w:ascii="Wingdings" w:hAnsi="Wingdings"/>
      </w:rPr>
    </w:lvl>
  </w:abstractNum>
  <w:abstractNum w:abstractNumId="6" w15:restartNumberingAfterBreak="0">
    <w:nsid w:val="2B4836F0"/>
    <w:multiLevelType w:val="multilevel"/>
    <w:tmpl w:val="92425364"/>
    <w:styleLink w:val="WW8Num7"/>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3."/>
      <w:lvlJc w:val="right"/>
      <w:rPr>
        <w:rFonts w:cs="Times New Roman"/>
      </w:rPr>
    </w:lvl>
    <w:lvl w:ilvl="3">
      <w:start w:val="1"/>
      <w:numFmt w:val="decimal"/>
      <w:lvlText w:val="%4."/>
      <w:lvlJc w:val="left"/>
      <w:rPr>
        <w:rFonts w:cs="Times New Roman"/>
      </w:rPr>
    </w:lvl>
    <w:lvl w:ilvl="4">
      <w:start w:val="1"/>
      <w:numFmt w:val="lowerLetter"/>
      <w:lvlText w:val="%5."/>
      <w:lvlJc w:val="left"/>
      <w:rPr>
        <w:rFonts w:cs="Times New Roman"/>
      </w:rPr>
    </w:lvl>
    <w:lvl w:ilvl="5">
      <w:start w:val="1"/>
      <w:numFmt w:val="lowerRoman"/>
      <w:lvlText w:val="%6."/>
      <w:lvlJc w:val="right"/>
      <w:rPr>
        <w:rFonts w:cs="Times New Roman"/>
      </w:rPr>
    </w:lvl>
    <w:lvl w:ilvl="6">
      <w:start w:val="1"/>
      <w:numFmt w:val="decimal"/>
      <w:lvlText w:val="%7."/>
      <w:lvlJc w:val="left"/>
      <w:rPr>
        <w:rFonts w:cs="Times New Roman"/>
      </w:rPr>
    </w:lvl>
    <w:lvl w:ilvl="7">
      <w:start w:val="1"/>
      <w:numFmt w:val="lowerLetter"/>
      <w:lvlText w:val="%8."/>
      <w:lvlJc w:val="left"/>
      <w:rPr>
        <w:rFonts w:cs="Times New Roman"/>
      </w:rPr>
    </w:lvl>
    <w:lvl w:ilvl="8">
      <w:start w:val="1"/>
      <w:numFmt w:val="lowerRoman"/>
      <w:lvlText w:val="%9."/>
      <w:lvlJc w:val="right"/>
      <w:rPr>
        <w:rFonts w:cs="Times New Roman"/>
      </w:rPr>
    </w:lvl>
  </w:abstractNum>
  <w:abstractNum w:abstractNumId="7" w15:restartNumberingAfterBreak="0">
    <w:nsid w:val="32191725"/>
    <w:multiLevelType w:val="multilevel"/>
    <w:tmpl w:val="1574881C"/>
    <w:styleLink w:val="WW8Num19"/>
    <w:lvl w:ilvl="0">
      <w:start w:val="1"/>
      <w:numFmt w:val="decimal"/>
      <w:lvlText w:val="%1."/>
      <w:lvlJc w:val="left"/>
      <w:rPr>
        <w:rFonts w:cs="Times New Roman"/>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8" w15:restartNumberingAfterBreak="0">
    <w:nsid w:val="4382158D"/>
    <w:multiLevelType w:val="multilevel"/>
    <w:tmpl w:val="E3303000"/>
    <w:styleLink w:val="WW8Num1"/>
    <w:lvl w:ilvl="0">
      <w:start w:val="1"/>
      <w:numFmt w:val="decimal"/>
      <w:lvlText w:val="%1."/>
      <w:lvlJc w:val="left"/>
      <w:rPr>
        <w:rFonts w:ascii="Arial" w:hAnsi="Arial" w:cs="Arial"/>
        <w:spacing w:val="6"/>
        <w:sz w:val="22"/>
        <w:szCs w:val="22"/>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9" w15:restartNumberingAfterBreak="0">
    <w:nsid w:val="482B5F84"/>
    <w:multiLevelType w:val="multilevel"/>
    <w:tmpl w:val="09BEFE48"/>
    <w:styleLink w:val="WW8Num11"/>
    <w:lvl w:ilvl="0">
      <w:start w:val="12"/>
      <w:numFmt w:val="decimal"/>
      <w:lvlText w:val="%1."/>
      <w:lvlJc w:val="left"/>
      <w:rPr>
        <w:rFonts w:cs="Times New Roman"/>
      </w:rPr>
    </w:lvl>
    <w:lvl w:ilvl="1">
      <w:start w:val="1"/>
      <w:numFmt w:val="lowerLetter"/>
      <w:lvlText w:val="%2."/>
      <w:lvlJc w:val="left"/>
      <w:rPr>
        <w:rFonts w:cs="Times New Roman"/>
      </w:rPr>
    </w:lvl>
    <w:lvl w:ilvl="2">
      <w:start w:val="1"/>
      <w:numFmt w:val="lowerRoman"/>
      <w:lvlText w:val="%3."/>
      <w:lvlJc w:val="right"/>
      <w:rPr>
        <w:rFonts w:cs="Times New Roman"/>
      </w:rPr>
    </w:lvl>
    <w:lvl w:ilvl="3">
      <w:start w:val="1"/>
      <w:numFmt w:val="decimal"/>
      <w:lvlText w:val="%4."/>
      <w:lvlJc w:val="left"/>
      <w:rPr>
        <w:rFonts w:cs="Times New Roman"/>
      </w:rPr>
    </w:lvl>
    <w:lvl w:ilvl="4">
      <w:start w:val="1"/>
      <w:numFmt w:val="lowerLetter"/>
      <w:lvlText w:val="%5."/>
      <w:lvlJc w:val="left"/>
      <w:rPr>
        <w:rFonts w:cs="Times New Roman"/>
      </w:rPr>
    </w:lvl>
    <w:lvl w:ilvl="5">
      <w:start w:val="1"/>
      <w:numFmt w:val="lowerRoman"/>
      <w:lvlText w:val="%6."/>
      <w:lvlJc w:val="right"/>
      <w:rPr>
        <w:rFonts w:cs="Times New Roman"/>
      </w:rPr>
    </w:lvl>
    <w:lvl w:ilvl="6">
      <w:start w:val="1"/>
      <w:numFmt w:val="decimal"/>
      <w:lvlText w:val="%7."/>
      <w:lvlJc w:val="left"/>
      <w:rPr>
        <w:rFonts w:cs="Times New Roman"/>
      </w:rPr>
    </w:lvl>
    <w:lvl w:ilvl="7">
      <w:start w:val="1"/>
      <w:numFmt w:val="lowerLetter"/>
      <w:lvlText w:val="%8."/>
      <w:lvlJc w:val="left"/>
      <w:rPr>
        <w:rFonts w:cs="Times New Roman"/>
      </w:rPr>
    </w:lvl>
    <w:lvl w:ilvl="8">
      <w:start w:val="1"/>
      <w:numFmt w:val="lowerRoman"/>
      <w:lvlText w:val="%9."/>
      <w:lvlJc w:val="right"/>
      <w:rPr>
        <w:rFonts w:cs="Times New Roman"/>
      </w:rPr>
    </w:lvl>
  </w:abstractNum>
  <w:abstractNum w:abstractNumId="10" w15:restartNumberingAfterBreak="0">
    <w:nsid w:val="4CB45FC2"/>
    <w:multiLevelType w:val="multilevel"/>
    <w:tmpl w:val="A9046F12"/>
    <w:styleLink w:val="WW8Num18"/>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3."/>
      <w:lvlJc w:val="right"/>
      <w:rPr>
        <w:rFonts w:cs="Times New Roman"/>
      </w:rPr>
    </w:lvl>
    <w:lvl w:ilvl="3">
      <w:start w:val="1"/>
      <w:numFmt w:val="decimal"/>
      <w:lvlText w:val="%4."/>
      <w:lvlJc w:val="left"/>
      <w:rPr>
        <w:rFonts w:cs="Times New Roman"/>
      </w:rPr>
    </w:lvl>
    <w:lvl w:ilvl="4">
      <w:start w:val="1"/>
      <w:numFmt w:val="lowerLetter"/>
      <w:lvlText w:val="%5."/>
      <w:lvlJc w:val="left"/>
      <w:rPr>
        <w:rFonts w:cs="Times New Roman"/>
      </w:rPr>
    </w:lvl>
    <w:lvl w:ilvl="5">
      <w:start w:val="1"/>
      <w:numFmt w:val="lowerRoman"/>
      <w:lvlText w:val="%6."/>
      <w:lvlJc w:val="right"/>
      <w:rPr>
        <w:rFonts w:cs="Times New Roman"/>
      </w:rPr>
    </w:lvl>
    <w:lvl w:ilvl="6">
      <w:start w:val="1"/>
      <w:numFmt w:val="decimal"/>
      <w:lvlText w:val="%7."/>
      <w:lvlJc w:val="left"/>
      <w:rPr>
        <w:rFonts w:cs="Times New Roman"/>
      </w:rPr>
    </w:lvl>
    <w:lvl w:ilvl="7">
      <w:start w:val="1"/>
      <w:numFmt w:val="lowerLetter"/>
      <w:lvlText w:val="%8."/>
      <w:lvlJc w:val="left"/>
      <w:rPr>
        <w:rFonts w:cs="Times New Roman"/>
      </w:rPr>
    </w:lvl>
    <w:lvl w:ilvl="8">
      <w:start w:val="1"/>
      <w:numFmt w:val="lowerRoman"/>
      <w:lvlText w:val="%9."/>
      <w:lvlJc w:val="right"/>
      <w:rPr>
        <w:rFonts w:cs="Times New Roman"/>
      </w:rPr>
    </w:lvl>
  </w:abstractNum>
  <w:abstractNum w:abstractNumId="11" w15:restartNumberingAfterBreak="0">
    <w:nsid w:val="55BC4B86"/>
    <w:multiLevelType w:val="multilevel"/>
    <w:tmpl w:val="3E3614D0"/>
    <w:styleLink w:val="WW8Num12"/>
    <w:lvl w:ilvl="0">
      <w:start w:val="1"/>
      <w:numFmt w:val="decimal"/>
      <w:lvlText w:val="%1."/>
      <w:lvlJc w:val="left"/>
      <w:rPr>
        <w:rFonts w:cs="Times New Roman"/>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12" w15:restartNumberingAfterBreak="0">
    <w:nsid w:val="56426594"/>
    <w:multiLevelType w:val="multilevel"/>
    <w:tmpl w:val="4C68C2AA"/>
    <w:styleLink w:val="WW8Num10"/>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3."/>
      <w:lvlJc w:val="right"/>
      <w:rPr>
        <w:rFonts w:cs="Times New Roman"/>
      </w:rPr>
    </w:lvl>
    <w:lvl w:ilvl="3">
      <w:start w:val="1"/>
      <w:numFmt w:val="decimal"/>
      <w:lvlText w:val="%4."/>
      <w:lvlJc w:val="left"/>
      <w:rPr>
        <w:rFonts w:cs="Times New Roman"/>
      </w:rPr>
    </w:lvl>
    <w:lvl w:ilvl="4">
      <w:start w:val="1"/>
      <w:numFmt w:val="lowerLetter"/>
      <w:lvlText w:val="%5."/>
      <w:lvlJc w:val="left"/>
      <w:rPr>
        <w:rFonts w:cs="Times New Roman"/>
      </w:rPr>
    </w:lvl>
    <w:lvl w:ilvl="5">
      <w:start w:val="1"/>
      <w:numFmt w:val="lowerRoman"/>
      <w:lvlText w:val="%6."/>
      <w:lvlJc w:val="right"/>
      <w:rPr>
        <w:rFonts w:cs="Times New Roman"/>
      </w:rPr>
    </w:lvl>
    <w:lvl w:ilvl="6">
      <w:start w:val="1"/>
      <w:numFmt w:val="decimal"/>
      <w:lvlText w:val="%7."/>
      <w:lvlJc w:val="left"/>
      <w:rPr>
        <w:rFonts w:cs="Times New Roman"/>
      </w:rPr>
    </w:lvl>
    <w:lvl w:ilvl="7">
      <w:start w:val="1"/>
      <w:numFmt w:val="lowerLetter"/>
      <w:lvlText w:val="%8."/>
      <w:lvlJc w:val="left"/>
      <w:rPr>
        <w:rFonts w:cs="Times New Roman"/>
      </w:rPr>
    </w:lvl>
    <w:lvl w:ilvl="8">
      <w:start w:val="1"/>
      <w:numFmt w:val="lowerRoman"/>
      <w:lvlText w:val="%9."/>
      <w:lvlJc w:val="right"/>
      <w:rPr>
        <w:rFonts w:cs="Times New Roman"/>
      </w:rPr>
    </w:lvl>
  </w:abstractNum>
  <w:abstractNum w:abstractNumId="13" w15:restartNumberingAfterBreak="0">
    <w:nsid w:val="5BDD746D"/>
    <w:multiLevelType w:val="multilevel"/>
    <w:tmpl w:val="A7201426"/>
    <w:styleLink w:val="WW8Num16"/>
    <w:lvl w:ilvl="0">
      <w:start w:val="1"/>
      <w:numFmt w:val="decimal"/>
      <w:lvlText w:val="%1."/>
      <w:lvlJc w:val="left"/>
      <w:rPr>
        <w:rFonts w:cs="Times New Roman"/>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14" w15:restartNumberingAfterBreak="0">
    <w:nsid w:val="5CE752B2"/>
    <w:multiLevelType w:val="multilevel"/>
    <w:tmpl w:val="7DBE7490"/>
    <w:styleLink w:val="WW8Num8"/>
    <w:lvl w:ilvl="0">
      <w:start w:val="1"/>
      <w:numFmt w:val="decimal"/>
      <w:lvlText w:val="%1."/>
      <w:lvlJc w:val="left"/>
      <w:rPr>
        <w:rFonts w:ascii="Arial" w:hAnsi="Arial" w:cs="Arial"/>
        <w:b w:val="0"/>
        <w:i w:val="0"/>
        <w:sz w:val="22"/>
      </w:rPr>
    </w:lvl>
    <w:lvl w:ilvl="1">
      <w:start w:val="1"/>
      <w:numFmt w:val="lowerLetter"/>
      <w:lvlText w:val="%2."/>
      <w:lvlJc w:val="left"/>
      <w:rPr>
        <w:rFonts w:cs="Times New Roman"/>
      </w:rPr>
    </w:lvl>
    <w:lvl w:ilvl="2">
      <w:start w:val="1"/>
      <w:numFmt w:val="lowerRoman"/>
      <w:lvlText w:val="%3."/>
      <w:lvlJc w:val="right"/>
      <w:rPr>
        <w:rFonts w:cs="Times New Roman"/>
      </w:rPr>
    </w:lvl>
    <w:lvl w:ilvl="3">
      <w:start w:val="1"/>
      <w:numFmt w:val="decimal"/>
      <w:lvlText w:val="%4."/>
      <w:lvlJc w:val="left"/>
      <w:rPr>
        <w:rFonts w:cs="Times New Roman"/>
      </w:rPr>
    </w:lvl>
    <w:lvl w:ilvl="4">
      <w:start w:val="1"/>
      <w:numFmt w:val="lowerLetter"/>
      <w:lvlText w:val="%5."/>
      <w:lvlJc w:val="left"/>
      <w:rPr>
        <w:rFonts w:cs="Times New Roman"/>
      </w:rPr>
    </w:lvl>
    <w:lvl w:ilvl="5">
      <w:start w:val="1"/>
      <w:numFmt w:val="lowerRoman"/>
      <w:lvlText w:val="%6."/>
      <w:lvlJc w:val="right"/>
      <w:rPr>
        <w:rFonts w:cs="Times New Roman"/>
      </w:rPr>
    </w:lvl>
    <w:lvl w:ilvl="6">
      <w:start w:val="1"/>
      <w:numFmt w:val="decimal"/>
      <w:lvlText w:val="%7."/>
      <w:lvlJc w:val="left"/>
      <w:rPr>
        <w:rFonts w:cs="Times New Roman"/>
      </w:rPr>
    </w:lvl>
    <w:lvl w:ilvl="7">
      <w:start w:val="1"/>
      <w:numFmt w:val="lowerLetter"/>
      <w:lvlText w:val="%8."/>
      <w:lvlJc w:val="left"/>
      <w:rPr>
        <w:rFonts w:cs="Times New Roman"/>
      </w:rPr>
    </w:lvl>
    <w:lvl w:ilvl="8">
      <w:start w:val="1"/>
      <w:numFmt w:val="lowerRoman"/>
      <w:lvlText w:val="%9."/>
      <w:lvlJc w:val="right"/>
      <w:rPr>
        <w:rFonts w:cs="Times New Roman"/>
      </w:rPr>
    </w:lvl>
  </w:abstractNum>
  <w:abstractNum w:abstractNumId="15" w15:restartNumberingAfterBreak="0">
    <w:nsid w:val="62372278"/>
    <w:multiLevelType w:val="multilevel"/>
    <w:tmpl w:val="09542C78"/>
    <w:styleLink w:val="WW8Num6"/>
    <w:lvl w:ilvl="0">
      <w:start w:val="1"/>
      <w:numFmt w:val="decimal"/>
      <w:pStyle w:val="titulotres"/>
      <w:lvlText w:val="%1"/>
      <w:lvlJc w:val="left"/>
      <w:rPr>
        <w:rFonts w:cs="Times New Roman"/>
      </w:rPr>
    </w:lvl>
    <w:lvl w:ilvl="1">
      <w:start w:val="4"/>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6" w15:restartNumberingAfterBreak="0">
    <w:nsid w:val="6C153C51"/>
    <w:multiLevelType w:val="multilevel"/>
    <w:tmpl w:val="40D0F322"/>
    <w:styleLink w:val="WW8Num2"/>
    <w:lvl w:ilvl="0">
      <w:start w:val="1"/>
      <w:numFmt w:val="decimal"/>
      <w:lvlText w:val="%1."/>
      <w:lvlJc w:val="left"/>
      <w:rPr>
        <w:rFonts w:ascii="Arial" w:hAnsi="Arial" w:cs="Arial"/>
        <w:sz w:val="24"/>
        <w:szCs w:val="24"/>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17" w15:restartNumberingAfterBreak="0">
    <w:nsid w:val="7B0252B3"/>
    <w:multiLevelType w:val="multilevel"/>
    <w:tmpl w:val="DDDCBA4E"/>
    <w:styleLink w:val="WW8Num13"/>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3."/>
      <w:lvlJc w:val="right"/>
      <w:rPr>
        <w:rFonts w:cs="Times New Roman"/>
      </w:rPr>
    </w:lvl>
    <w:lvl w:ilvl="3">
      <w:start w:val="1"/>
      <w:numFmt w:val="decimal"/>
      <w:lvlText w:val="%4."/>
      <w:lvlJc w:val="left"/>
      <w:rPr>
        <w:rFonts w:cs="Times New Roman"/>
      </w:rPr>
    </w:lvl>
    <w:lvl w:ilvl="4">
      <w:start w:val="1"/>
      <w:numFmt w:val="lowerLetter"/>
      <w:lvlText w:val="%5."/>
      <w:lvlJc w:val="left"/>
      <w:rPr>
        <w:rFonts w:cs="Times New Roman"/>
      </w:rPr>
    </w:lvl>
    <w:lvl w:ilvl="5">
      <w:start w:val="1"/>
      <w:numFmt w:val="lowerRoman"/>
      <w:lvlText w:val="%6."/>
      <w:lvlJc w:val="right"/>
      <w:rPr>
        <w:rFonts w:cs="Times New Roman"/>
      </w:rPr>
    </w:lvl>
    <w:lvl w:ilvl="6">
      <w:start w:val="1"/>
      <w:numFmt w:val="decimal"/>
      <w:lvlText w:val="%7."/>
      <w:lvlJc w:val="left"/>
      <w:rPr>
        <w:rFonts w:cs="Times New Roman"/>
      </w:rPr>
    </w:lvl>
    <w:lvl w:ilvl="7">
      <w:start w:val="1"/>
      <w:numFmt w:val="lowerLetter"/>
      <w:lvlText w:val="%8."/>
      <w:lvlJc w:val="left"/>
      <w:rPr>
        <w:rFonts w:cs="Times New Roman"/>
      </w:rPr>
    </w:lvl>
    <w:lvl w:ilvl="8">
      <w:start w:val="1"/>
      <w:numFmt w:val="lowerRoman"/>
      <w:lvlText w:val="%9."/>
      <w:lvlJc w:val="right"/>
      <w:rPr>
        <w:rFonts w:cs="Times New Roman"/>
      </w:rPr>
    </w:lvl>
  </w:abstractNum>
  <w:abstractNum w:abstractNumId="18" w15:restartNumberingAfterBreak="0">
    <w:nsid w:val="7C644CC9"/>
    <w:multiLevelType w:val="multilevel"/>
    <w:tmpl w:val="26CCB71C"/>
    <w:styleLink w:val="WW8Num14"/>
    <w:lvl w:ilvl="0">
      <w:start w:val="1"/>
      <w:numFmt w:val="decimal"/>
      <w:lvlText w:val="%1."/>
      <w:lvlJc w:val="left"/>
      <w:rPr>
        <w:rFonts w:cs="Times New Roman"/>
        <w:b w:val="0"/>
      </w:rPr>
    </w:lvl>
    <w:lvl w:ilvl="1">
      <w:start w:val="1"/>
      <w:numFmt w:val="lowerLetter"/>
      <w:lvlText w:val="%2."/>
      <w:lvlJc w:val="left"/>
      <w:rPr>
        <w:rFonts w:cs="Times New Roman"/>
      </w:rPr>
    </w:lvl>
    <w:lvl w:ilvl="2">
      <w:start w:val="1"/>
      <w:numFmt w:val="lowerRoman"/>
      <w:lvlText w:val="%3."/>
      <w:lvlJc w:val="right"/>
      <w:rPr>
        <w:rFonts w:cs="Times New Roman"/>
      </w:rPr>
    </w:lvl>
    <w:lvl w:ilvl="3">
      <w:start w:val="1"/>
      <w:numFmt w:val="decimal"/>
      <w:lvlText w:val="%4."/>
      <w:lvlJc w:val="left"/>
      <w:rPr>
        <w:rFonts w:cs="Times New Roman"/>
      </w:rPr>
    </w:lvl>
    <w:lvl w:ilvl="4">
      <w:start w:val="1"/>
      <w:numFmt w:val="lowerLetter"/>
      <w:lvlText w:val="%5."/>
      <w:lvlJc w:val="left"/>
      <w:rPr>
        <w:rFonts w:cs="Times New Roman"/>
      </w:rPr>
    </w:lvl>
    <w:lvl w:ilvl="5">
      <w:start w:val="1"/>
      <w:numFmt w:val="lowerRoman"/>
      <w:lvlText w:val="%6."/>
      <w:lvlJc w:val="right"/>
      <w:rPr>
        <w:rFonts w:cs="Times New Roman"/>
      </w:rPr>
    </w:lvl>
    <w:lvl w:ilvl="6">
      <w:start w:val="1"/>
      <w:numFmt w:val="decimal"/>
      <w:lvlText w:val="%7."/>
      <w:lvlJc w:val="left"/>
      <w:rPr>
        <w:rFonts w:cs="Times New Roman"/>
      </w:rPr>
    </w:lvl>
    <w:lvl w:ilvl="7">
      <w:start w:val="1"/>
      <w:numFmt w:val="lowerLetter"/>
      <w:lvlText w:val="%8."/>
      <w:lvlJc w:val="left"/>
      <w:rPr>
        <w:rFonts w:cs="Times New Roman"/>
      </w:rPr>
    </w:lvl>
    <w:lvl w:ilvl="8">
      <w:start w:val="1"/>
      <w:numFmt w:val="lowerRoman"/>
      <w:lvlText w:val="%9."/>
      <w:lvlJc w:val="right"/>
      <w:rPr>
        <w:rFonts w:cs="Times New Roman"/>
      </w:rPr>
    </w:lvl>
  </w:abstractNum>
  <w:abstractNum w:abstractNumId="19" w15:restartNumberingAfterBreak="0">
    <w:nsid w:val="7DF86C46"/>
    <w:multiLevelType w:val="multilevel"/>
    <w:tmpl w:val="0862D828"/>
    <w:lvl w:ilvl="0">
      <w:start w:val="1"/>
      <w:numFmt w:val="decimal"/>
      <w:lvlText w:val="%1."/>
      <w:lvlJc w:val="left"/>
      <w:pPr>
        <w:ind w:left="927" w:hanging="360"/>
      </w:pPr>
      <w:rPr>
        <w:rFonts w:cs="Times New Roman"/>
      </w:rPr>
    </w:lvl>
    <w:lvl w:ilvl="1">
      <w:start w:val="1"/>
      <w:numFmt w:val="lowerLetter"/>
      <w:lvlText w:val="%2."/>
      <w:lvlJc w:val="left"/>
      <w:pPr>
        <w:ind w:left="1647" w:hanging="360"/>
      </w:pPr>
      <w:rPr>
        <w:rFonts w:cs="Times New Roman"/>
      </w:rPr>
    </w:lvl>
    <w:lvl w:ilvl="2">
      <w:start w:val="1"/>
      <w:numFmt w:val="lowerRoman"/>
      <w:lvlText w:val="%3."/>
      <w:lvlJc w:val="right"/>
      <w:pPr>
        <w:ind w:left="2367" w:hanging="180"/>
      </w:pPr>
      <w:rPr>
        <w:rFonts w:cs="Times New Roman"/>
      </w:rPr>
    </w:lvl>
    <w:lvl w:ilvl="3">
      <w:start w:val="1"/>
      <w:numFmt w:val="decimal"/>
      <w:lvlText w:val="%4."/>
      <w:lvlJc w:val="left"/>
      <w:pPr>
        <w:ind w:left="3087" w:hanging="360"/>
      </w:pPr>
      <w:rPr>
        <w:rFonts w:cs="Times New Roman"/>
      </w:rPr>
    </w:lvl>
    <w:lvl w:ilvl="4">
      <w:start w:val="1"/>
      <w:numFmt w:val="lowerLetter"/>
      <w:lvlText w:val="%5."/>
      <w:lvlJc w:val="left"/>
      <w:pPr>
        <w:ind w:left="3807" w:hanging="360"/>
      </w:pPr>
      <w:rPr>
        <w:rFonts w:cs="Times New Roman"/>
      </w:rPr>
    </w:lvl>
    <w:lvl w:ilvl="5">
      <w:start w:val="1"/>
      <w:numFmt w:val="lowerRoman"/>
      <w:lvlText w:val="%6."/>
      <w:lvlJc w:val="right"/>
      <w:pPr>
        <w:ind w:left="4527" w:hanging="180"/>
      </w:pPr>
      <w:rPr>
        <w:rFonts w:cs="Times New Roman"/>
      </w:rPr>
    </w:lvl>
    <w:lvl w:ilvl="6">
      <w:start w:val="1"/>
      <w:numFmt w:val="decimal"/>
      <w:lvlText w:val="%7."/>
      <w:lvlJc w:val="left"/>
      <w:pPr>
        <w:ind w:left="5247" w:hanging="360"/>
      </w:pPr>
      <w:rPr>
        <w:rFonts w:cs="Times New Roman"/>
      </w:rPr>
    </w:lvl>
    <w:lvl w:ilvl="7">
      <w:start w:val="1"/>
      <w:numFmt w:val="lowerLetter"/>
      <w:lvlText w:val="%8."/>
      <w:lvlJc w:val="left"/>
      <w:pPr>
        <w:ind w:left="5967" w:hanging="360"/>
      </w:pPr>
      <w:rPr>
        <w:rFonts w:cs="Times New Roman"/>
      </w:rPr>
    </w:lvl>
    <w:lvl w:ilvl="8">
      <w:start w:val="1"/>
      <w:numFmt w:val="lowerRoman"/>
      <w:lvlText w:val="%9."/>
      <w:lvlJc w:val="right"/>
      <w:pPr>
        <w:ind w:left="6687" w:hanging="180"/>
      </w:pPr>
      <w:rPr>
        <w:rFonts w:cs="Times New Roman"/>
      </w:rPr>
    </w:lvl>
  </w:abstractNum>
  <w:num w:numId="1">
    <w:abstractNumId w:val="8"/>
  </w:num>
  <w:num w:numId="2">
    <w:abstractNumId w:val="16"/>
  </w:num>
  <w:num w:numId="3">
    <w:abstractNumId w:val="1"/>
  </w:num>
  <w:num w:numId="4">
    <w:abstractNumId w:val="0"/>
  </w:num>
  <w:num w:numId="5">
    <w:abstractNumId w:val="3"/>
  </w:num>
  <w:num w:numId="6">
    <w:abstractNumId w:val="15"/>
  </w:num>
  <w:num w:numId="7">
    <w:abstractNumId w:val="6"/>
  </w:num>
  <w:num w:numId="8">
    <w:abstractNumId w:val="14"/>
  </w:num>
  <w:num w:numId="9">
    <w:abstractNumId w:val="5"/>
  </w:num>
  <w:num w:numId="10">
    <w:abstractNumId w:val="12"/>
  </w:num>
  <w:num w:numId="11">
    <w:abstractNumId w:val="9"/>
  </w:num>
  <w:num w:numId="12">
    <w:abstractNumId w:val="11"/>
  </w:num>
  <w:num w:numId="13">
    <w:abstractNumId w:val="17"/>
  </w:num>
  <w:num w:numId="14">
    <w:abstractNumId w:val="18"/>
  </w:num>
  <w:num w:numId="15">
    <w:abstractNumId w:val="2"/>
  </w:num>
  <w:num w:numId="16">
    <w:abstractNumId w:val="13"/>
  </w:num>
  <w:num w:numId="17">
    <w:abstractNumId w:val="4"/>
  </w:num>
  <w:num w:numId="18">
    <w:abstractNumId w:val="10"/>
  </w:num>
  <w:num w:numId="19">
    <w:abstractNumId w:val="7"/>
  </w:num>
  <w:num w:numId="20">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ttachedTemplate r:id="rId1"/>
  <w:defaultTabStop w:val="720"/>
  <w:autoHyphenation/>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0"/>
  </w:compat>
  <w:rsids>
    <w:rsidRoot w:val="00C20C98"/>
    <w:rsid w:val="000060AA"/>
    <w:rsid w:val="000F07F6"/>
    <w:rsid w:val="001940E6"/>
    <w:rsid w:val="001C7DC2"/>
    <w:rsid w:val="001F7DA8"/>
    <w:rsid w:val="002159A5"/>
    <w:rsid w:val="00267205"/>
    <w:rsid w:val="002F705E"/>
    <w:rsid w:val="0030273A"/>
    <w:rsid w:val="0032009A"/>
    <w:rsid w:val="00331933"/>
    <w:rsid w:val="00344896"/>
    <w:rsid w:val="00395674"/>
    <w:rsid w:val="003A39E3"/>
    <w:rsid w:val="003C4AF6"/>
    <w:rsid w:val="003D6653"/>
    <w:rsid w:val="003E469B"/>
    <w:rsid w:val="00402BB2"/>
    <w:rsid w:val="00404F44"/>
    <w:rsid w:val="004158F5"/>
    <w:rsid w:val="00424445"/>
    <w:rsid w:val="0043253F"/>
    <w:rsid w:val="004A0E68"/>
    <w:rsid w:val="004F7856"/>
    <w:rsid w:val="00500353"/>
    <w:rsid w:val="00511AB4"/>
    <w:rsid w:val="0052105C"/>
    <w:rsid w:val="00571FF2"/>
    <w:rsid w:val="005831AB"/>
    <w:rsid w:val="005A2D66"/>
    <w:rsid w:val="005C3A22"/>
    <w:rsid w:val="005F0D5E"/>
    <w:rsid w:val="00631495"/>
    <w:rsid w:val="006340EA"/>
    <w:rsid w:val="006A084D"/>
    <w:rsid w:val="006C0ECE"/>
    <w:rsid w:val="0078367D"/>
    <w:rsid w:val="0079421A"/>
    <w:rsid w:val="00803F88"/>
    <w:rsid w:val="00834ED7"/>
    <w:rsid w:val="0089276F"/>
    <w:rsid w:val="008E4C27"/>
    <w:rsid w:val="00945C51"/>
    <w:rsid w:val="009706DD"/>
    <w:rsid w:val="009B31A0"/>
    <w:rsid w:val="00B5668D"/>
    <w:rsid w:val="00B6153B"/>
    <w:rsid w:val="00BA2BF7"/>
    <w:rsid w:val="00BB7E7C"/>
    <w:rsid w:val="00BC27F7"/>
    <w:rsid w:val="00BF7A20"/>
    <w:rsid w:val="00C129DE"/>
    <w:rsid w:val="00C20C98"/>
    <w:rsid w:val="00C45488"/>
    <w:rsid w:val="00CF21CE"/>
    <w:rsid w:val="00D85059"/>
    <w:rsid w:val="00D915B6"/>
    <w:rsid w:val="00DD7C51"/>
    <w:rsid w:val="00E312C5"/>
    <w:rsid w:val="00E6261F"/>
    <w:rsid w:val="00E8252F"/>
    <w:rsid w:val="00EE1280"/>
    <w:rsid w:val="00EE606F"/>
    <w:rsid w:val="00EE7AED"/>
    <w:rsid w:val="00F50229"/>
    <w:rsid w:val="00F84A47"/>
    <w:rsid w:val="00F9747D"/>
    <w:rsid w:val="00FE6A2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C541134"/>
  <w14:defaultImageDpi w14:val="0"/>
  <w15:docId w15:val="{A8B2DC7A-EAFD-4EC0-9225-A7559964EE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Liberation Serif" w:eastAsia="Times New Roman" w:hAnsi="Liberation Serif" w:cs="Liberation Serif"/>
        <w:kern w:val="3"/>
        <w:sz w:val="24"/>
        <w:szCs w:val="24"/>
        <w:lang w:val="es-ES" w:eastAsia="zh-CN" w:bidi="ar-SA"/>
      </w:rPr>
    </w:rPrDefault>
    <w:pPrDefault>
      <w:pPr>
        <w:widowControl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table of authorities" w:semiHidden="1" w:unhideWhenUsed="1"/>
    <w:lsdException w:name="List" w:semiHidden="1" w:unhideWhenUsed="1"/>
    <w:lsdException w:name="List Bullet" w:semiHidden="1" w:unhideWhenUsed="1"/>
    <w:lsdException w:name="Title" w:uiPriority="10" w:qFormat="1"/>
    <w:lsdException w:name="Default Paragraph Font" w:semiHidden="1" w:uiPriority="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Subtitle" w:uiPriority="11" w:qFormat="1"/>
    <w:lsdException w:name="Strong" w:uiPriority="22" w:qFormat="1"/>
    <w:lsdException w:name="Emphasis" w:uiPriority="20" w:qFormat="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pPr>
      <w:suppressAutoHyphens/>
      <w:autoSpaceDN w:val="0"/>
    </w:pPr>
    <w:rPr>
      <w:rFonts w:cs="Lohit Devanagari"/>
      <w:lang w:bidi="hi-IN"/>
    </w:rPr>
  </w:style>
  <w:style w:type="paragraph" w:styleId="Ttulo1">
    <w:name w:val="heading 1"/>
    <w:basedOn w:val="Standard"/>
    <w:next w:val="Standard"/>
    <w:link w:val="Ttulo1Car"/>
    <w:uiPriority w:val="9"/>
    <w:pPr>
      <w:keepNext/>
      <w:tabs>
        <w:tab w:val="left" w:pos="-720"/>
        <w:tab w:val="left" w:pos="4395"/>
      </w:tabs>
      <w:jc w:val="center"/>
      <w:outlineLvl w:val="0"/>
    </w:pPr>
    <w:rPr>
      <w:rFonts w:ascii="Arial" w:hAnsi="Arial" w:cs="Arial"/>
      <w:b/>
      <w:spacing w:val="-3"/>
      <w:sz w:val="28"/>
    </w:rPr>
  </w:style>
  <w:style w:type="paragraph" w:styleId="Ttulo2">
    <w:name w:val="heading 2"/>
    <w:basedOn w:val="Standard"/>
    <w:next w:val="Standard"/>
    <w:link w:val="Ttulo2Car"/>
    <w:uiPriority w:val="9"/>
    <w:pPr>
      <w:keepNext/>
      <w:widowControl w:val="0"/>
      <w:jc w:val="center"/>
      <w:outlineLvl w:val="1"/>
    </w:pPr>
    <w:rPr>
      <w:rFonts w:ascii="Arial" w:hAnsi="Arial" w:cs="Arial"/>
      <w:b/>
    </w:rPr>
  </w:style>
  <w:style w:type="paragraph" w:styleId="Ttulo3">
    <w:name w:val="heading 3"/>
    <w:basedOn w:val="Standard"/>
    <w:next w:val="Standard"/>
    <w:link w:val="Ttulo3Car"/>
    <w:uiPriority w:val="9"/>
    <w:pPr>
      <w:keepNext/>
      <w:tabs>
        <w:tab w:val="left" w:pos="-720"/>
        <w:tab w:val="right" w:pos="8080"/>
      </w:tabs>
      <w:jc w:val="both"/>
      <w:outlineLvl w:val="2"/>
    </w:pPr>
    <w:rPr>
      <w:rFonts w:ascii="Arial" w:hAnsi="Arial" w:cs="Arial"/>
      <w:spacing w:val="-3"/>
      <w:sz w:val="28"/>
    </w:rPr>
  </w:style>
  <w:style w:type="paragraph" w:styleId="Ttulo4">
    <w:name w:val="heading 4"/>
    <w:basedOn w:val="Standard"/>
    <w:next w:val="Standard"/>
    <w:link w:val="Ttulo4Car"/>
    <w:uiPriority w:val="9"/>
    <w:pPr>
      <w:keepNext/>
      <w:tabs>
        <w:tab w:val="left" w:pos="-720"/>
      </w:tabs>
      <w:ind w:right="851"/>
      <w:jc w:val="both"/>
      <w:outlineLvl w:val="3"/>
    </w:pPr>
    <w:rPr>
      <w:rFonts w:ascii="Arial" w:hAnsi="Arial" w:cs="Arial"/>
      <w:b/>
      <w:bCs/>
      <w:spacing w:val="-3"/>
      <w:sz w:val="28"/>
    </w:rPr>
  </w:style>
  <w:style w:type="paragraph" w:styleId="Ttulo5">
    <w:name w:val="heading 5"/>
    <w:basedOn w:val="Standard"/>
    <w:next w:val="Standard"/>
    <w:link w:val="Ttulo5Car"/>
    <w:uiPriority w:val="9"/>
    <w:pPr>
      <w:keepNext/>
      <w:outlineLvl w:val="4"/>
    </w:pPr>
    <w:rPr>
      <w:rFonts w:ascii="Arial" w:hAnsi="Arial" w:cs="Arial"/>
      <w:b/>
      <w:bCs/>
      <w:sz w:val="28"/>
    </w:rPr>
  </w:style>
  <w:style w:type="paragraph" w:styleId="Ttulo6">
    <w:name w:val="heading 6"/>
    <w:basedOn w:val="Standard"/>
    <w:next w:val="Standard"/>
    <w:link w:val="Ttulo6Car"/>
    <w:uiPriority w:val="9"/>
    <w:pPr>
      <w:keepNext/>
      <w:tabs>
        <w:tab w:val="left" w:pos="-720"/>
      </w:tabs>
      <w:jc w:val="both"/>
      <w:outlineLvl w:val="5"/>
    </w:pPr>
    <w:rPr>
      <w:rFonts w:ascii="Arial" w:hAnsi="Arial" w:cs="Arial"/>
      <w:spacing w:val="-3"/>
      <w:sz w:val="28"/>
    </w:rPr>
  </w:style>
  <w:style w:type="paragraph" w:styleId="Ttulo7">
    <w:name w:val="heading 7"/>
    <w:basedOn w:val="Standard"/>
    <w:next w:val="Standard"/>
    <w:link w:val="Ttulo7Car"/>
    <w:uiPriority w:val="9"/>
    <w:pPr>
      <w:keepNext/>
      <w:outlineLvl w:val="6"/>
    </w:pPr>
    <w:rPr>
      <w:rFonts w:ascii="Arial" w:hAnsi="Arial" w:cs="Arial"/>
    </w:rPr>
  </w:style>
  <w:style w:type="paragraph" w:styleId="Ttulo8">
    <w:name w:val="heading 8"/>
    <w:basedOn w:val="Standard"/>
    <w:next w:val="Standard"/>
    <w:link w:val="Ttulo8Car"/>
    <w:uiPriority w:val="9"/>
    <w:pPr>
      <w:keepNext/>
      <w:tabs>
        <w:tab w:val="left" w:pos="-720"/>
      </w:tabs>
      <w:jc w:val="center"/>
      <w:outlineLvl w:val="7"/>
    </w:pPr>
    <w:rPr>
      <w:sz w:val="28"/>
    </w:rPr>
  </w:style>
  <w:style w:type="paragraph" w:styleId="Ttulo9">
    <w:name w:val="heading 9"/>
    <w:basedOn w:val="Standard"/>
    <w:next w:val="Standard"/>
    <w:link w:val="Ttulo9Car"/>
    <w:uiPriority w:val="9"/>
    <w:pPr>
      <w:keepNext/>
      <w:tabs>
        <w:tab w:val="left" w:pos="-720"/>
        <w:tab w:val="left" w:pos="4395"/>
      </w:tabs>
      <w:jc w:val="both"/>
      <w:outlineLvl w:val="8"/>
    </w:pPr>
    <w:rPr>
      <w:rFonts w:ascii="Arial" w:hAnsi="Arial" w:cs="Arial"/>
      <w:b/>
      <w:sz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locked/>
    <w:rPr>
      <w:rFonts w:asciiTheme="majorHAnsi" w:eastAsiaTheme="majorEastAsia" w:hAnsiTheme="majorHAnsi" w:cs="Mangal"/>
      <w:b/>
      <w:bCs/>
      <w:kern w:val="32"/>
      <w:sz w:val="29"/>
      <w:szCs w:val="29"/>
      <w:lang w:bidi="hi-IN"/>
    </w:rPr>
  </w:style>
  <w:style w:type="character" w:customStyle="1" w:styleId="Ttulo2Car">
    <w:name w:val="Título 2 Car"/>
    <w:basedOn w:val="Fuentedeprrafopredeter"/>
    <w:link w:val="Ttulo2"/>
    <w:uiPriority w:val="9"/>
    <w:locked/>
    <w:rPr>
      <w:rFonts w:ascii="Arial" w:hAnsi="Arial" w:cs="Arial"/>
      <w:b/>
      <w:sz w:val="20"/>
      <w:szCs w:val="20"/>
      <w:lang w:bidi="ar-SA"/>
    </w:rPr>
  </w:style>
  <w:style w:type="character" w:customStyle="1" w:styleId="Ttulo3Car">
    <w:name w:val="Título 3 Car"/>
    <w:basedOn w:val="Fuentedeprrafopredeter"/>
    <w:link w:val="Ttulo3"/>
    <w:uiPriority w:val="9"/>
    <w:semiHidden/>
    <w:locked/>
    <w:rPr>
      <w:rFonts w:asciiTheme="majorHAnsi" w:eastAsiaTheme="majorEastAsia" w:hAnsiTheme="majorHAnsi" w:cs="Mangal"/>
      <w:b/>
      <w:bCs/>
      <w:sz w:val="23"/>
      <w:szCs w:val="23"/>
      <w:lang w:bidi="hi-IN"/>
    </w:rPr>
  </w:style>
  <w:style w:type="character" w:customStyle="1" w:styleId="Ttulo4Car">
    <w:name w:val="Título 4 Car"/>
    <w:basedOn w:val="Fuentedeprrafopredeter"/>
    <w:link w:val="Ttulo4"/>
    <w:uiPriority w:val="9"/>
    <w:semiHidden/>
    <w:locked/>
    <w:rPr>
      <w:rFonts w:asciiTheme="minorHAnsi" w:eastAsiaTheme="minorEastAsia" w:hAnsiTheme="minorHAnsi" w:cs="Mangal"/>
      <w:b/>
      <w:bCs/>
      <w:sz w:val="25"/>
      <w:szCs w:val="25"/>
      <w:lang w:bidi="hi-IN"/>
    </w:rPr>
  </w:style>
  <w:style w:type="character" w:customStyle="1" w:styleId="Ttulo5Car">
    <w:name w:val="Título 5 Car"/>
    <w:basedOn w:val="Fuentedeprrafopredeter"/>
    <w:link w:val="Ttulo5"/>
    <w:uiPriority w:val="9"/>
    <w:semiHidden/>
    <w:locked/>
    <w:rPr>
      <w:rFonts w:asciiTheme="minorHAnsi" w:eastAsiaTheme="minorEastAsia" w:hAnsiTheme="minorHAnsi" w:cs="Mangal"/>
      <w:b/>
      <w:bCs/>
      <w:i/>
      <w:iCs/>
      <w:sz w:val="23"/>
      <w:szCs w:val="23"/>
      <w:lang w:bidi="hi-IN"/>
    </w:rPr>
  </w:style>
  <w:style w:type="character" w:customStyle="1" w:styleId="Ttulo6Car">
    <w:name w:val="Título 6 Car"/>
    <w:basedOn w:val="Fuentedeprrafopredeter"/>
    <w:link w:val="Ttulo6"/>
    <w:uiPriority w:val="9"/>
    <w:semiHidden/>
    <w:locked/>
    <w:rPr>
      <w:rFonts w:asciiTheme="minorHAnsi" w:eastAsiaTheme="minorEastAsia" w:hAnsiTheme="minorHAnsi" w:cs="Mangal"/>
      <w:b/>
      <w:bCs/>
      <w:sz w:val="20"/>
      <w:szCs w:val="20"/>
      <w:lang w:bidi="hi-IN"/>
    </w:rPr>
  </w:style>
  <w:style w:type="character" w:customStyle="1" w:styleId="Ttulo7Car">
    <w:name w:val="Título 7 Car"/>
    <w:basedOn w:val="Fuentedeprrafopredeter"/>
    <w:link w:val="Ttulo7"/>
    <w:uiPriority w:val="9"/>
    <w:semiHidden/>
    <w:locked/>
    <w:rPr>
      <w:rFonts w:asciiTheme="minorHAnsi" w:eastAsiaTheme="minorEastAsia" w:hAnsiTheme="minorHAnsi" w:cs="Mangal"/>
      <w:sz w:val="21"/>
      <w:szCs w:val="21"/>
      <w:lang w:bidi="hi-IN"/>
    </w:rPr>
  </w:style>
  <w:style w:type="character" w:customStyle="1" w:styleId="Ttulo8Car">
    <w:name w:val="Título 8 Car"/>
    <w:basedOn w:val="Fuentedeprrafopredeter"/>
    <w:link w:val="Ttulo8"/>
    <w:uiPriority w:val="9"/>
    <w:semiHidden/>
    <w:locked/>
    <w:rPr>
      <w:rFonts w:asciiTheme="minorHAnsi" w:eastAsiaTheme="minorEastAsia" w:hAnsiTheme="minorHAnsi" w:cs="Mangal"/>
      <w:i/>
      <w:iCs/>
      <w:sz w:val="21"/>
      <w:szCs w:val="21"/>
      <w:lang w:bidi="hi-IN"/>
    </w:rPr>
  </w:style>
  <w:style w:type="character" w:customStyle="1" w:styleId="Ttulo9Car">
    <w:name w:val="Título 9 Car"/>
    <w:basedOn w:val="Fuentedeprrafopredeter"/>
    <w:link w:val="Ttulo9"/>
    <w:uiPriority w:val="9"/>
    <w:semiHidden/>
    <w:locked/>
    <w:rPr>
      <w:rFonts w:asciiTheme="majorHAnsi" w:eastAsiaTheme="majorEastAsia" w:hAnsiTheme="majorHAnsi" w:cs="Mangal"/>
      <w:sz w:val="20"/>
      <w:szCs w:val="20"/>
      <w:lang w:bidi="hi-IN"/>
    </w:rPr>
  </w:style>
  <w:style w:type="paragraph" w:customStyle="1" w:styleId="TITULOUNO">
    <w:name w:val="TITULO UNO"/>
    <w:basedOn w:val="Ttulo1"/>
    <w:pPr>
      <w:tabs>
        <w:tab w:val="clear" w:pos="4395"/>
      </w:tabs>
      <w:jc w:val="both"/>
    </w:pPr>
    <w:rPr>
      <w:bCs/>
      <w:spacing w:val="0"/>
      <w:sz w:val="24"/>
      <w:szCs w:val="24"/>
    </w:rPr>
  </w:style>
  <w:style w:type="paragraph" w:customStyle="1" w:styleId="Standard">
    <w:name w:val="Standard"/>
    <w:pPr>
      <w:widowControl/>
      <w:suppressAutoHyphens/>
      <w:autoSpaceDN w:val="0"/>
    </w:pPr>
    <w:rPr>
      <w:rFonts w:ascii="Courier New" w:hAnsi="Courier New" w:cs="Courier New"/>
      <w:szCs w:val="20"/>
    </w:rPr>
  </w:style>
  <w:style w:type="paragraph" w:customStyle="1" w:styleId="Heading">
    <w:name w:val="Heading"/>
    <w:basedOn w:val="Standard"/>
    <w:next w:val="Textbody"/>
    <w:pPr>
      <w:spacing w:before="240" w:after="60"/>
      <w:jc w:val="center"/>
    </w:pPr>
    <w:rPr>
      <w:rFonts w:ascii="Arial" w:hAnsi="Arial" w:cs="Arial"/>
      <w:b/>
      <w:sz w:val="32"/>
    </w:rPr>
  </w:style>
  <w:style w:type="paragraph" w:customStyle="1" w:styleId="Textbody">
    <w:name w:val="Text body"/>
    <w:basedOn w:val="Standard"/>
    <w:pPr>
      <w:tabs>
        <w:tab w:val="left" w:pos="-720"/>
      </w:tabs>
      <w:jc w:val="both"/>
    </w:pPr>
    <w:rPr>
      <w:rFonts w:ascii="Arial" w:hAnsi="Arial" w:cs="Arial"/>
      <w:spacing w:val="-3"/>
      <w:sz w:val="28"/>
    </w:rPr>
  </w:style>
  <w:style w:type="paragraph" w:styleId="Lista">
    <w:name w:val="List"/>
    <w:basedOn w:val="Standard"/>
    <w:uiPriority w:val="99"/>
    <w:pPr>
      <w:ind w:left="283" w:hanging="283"/>
    </w:pPr>
    <w:rPr>
      <w:rFonts w:ascii="Times New Roman" w:hAnsi="Times New Roman" w:cs="Times New Roman"/>
      <w:lang w:val="es-CO"/>
    </w:rPr>
  </w:style>
  <w:style w:type="paragraph" w:styleId="Descripcin">
    <w:name w:val="caption"/>
    <w:basedOn w:val="Standard"/>
    <w:uiPriority w:val="35"/>
    <w:pPr>
      <w:suppressLineNumbers/>
      <w:spacing w:before="120" w:after="120"/>
    </w:pPr>
    <w:rPr>
      <w:rFonts w:cs="Lohit Devanagari"/>
      <w:i/>
      <w:iCs/>
      <w:szCs w:val="24"/>
    </w:rPr>
  </w:style>
  <w:style w:type="paragraph" w:customStyle="1" w:styleId="Index">
    <w:name w:val="Index"/>
    <w:basedOn w:val="Standard"/>
    <w:pPr>
      <w:suppressLineNumbers/>
    </w:pPr>
    <w:rPr>
      <w:rFonts w:cs="Lohit Devanagari"/>
    </w:rPr>
  </w:style>
  <w:style w:type="paragraph" w:customStyle="1" w:styleId="Contents1">
    <w:name w:val="Contents 1"/>
    <w:basedOn w:val="Standard"/>
    <w:next w:val="Standard"/>
    <w:pPr>
      <w:tabs>
        <w:tab w:val="left" w:leader="dot" w:pos="9720"/>
        <w:tab w:val="right" w:pos="10080"/>
      </w:tabs>
      <w:spacing w:before="480"/>
      <w:ind w:left="720" w:right="720" w:hanging="720"/>
    </w:pPr>
    <w:rPr>
      <w:lang w:val="en-US"/>
    </w:rPr>
  </w:style>
  <w:style w:type="paragraph" w:customStyle="1" w:styleId="Contents2">
    <w:name w:val="Contents 2"/>
    <w:basedOn w:val="Standard"/>
    <w:next w:val="Standard"/>
    <w:pPr>
      <w:tabs>
        <w:tab w:val="left" w:leader="dot" w:pos="10440"/>
        <w:tab w:val="right" w:pos="10800"/>
      </w:tabs>
      <w:ind w:left="1440" w:right="720" w:hanging="720"/>
    </w:pPr>
    <w:rPr>
      <w:lang w:val="en-US"/>
    </w:rPr>
  </w:style>
  <w:style w:type="paragraph" w:customStyle="1" w:styleId="Contents3">
    <w:name w:val="Contents 3"/>
    <w:basedOn w:val="Standard"/>
    <w:next w:val="Standard"/>
    <w:pPr>
      <w:tabs>
        <w:tab w:val="left" w:leader="dot" w:pos="11160"/>
        <w:tab w:val="right" w:pos="11520"/>
      </w:tabs>
      <w:ind w:left="2160" w:right="720" w:hanging="720"/>
    </w:pPr>
    <w:rPr>
      <w:lang w:val="en-US"/>
    </w:rPr>
  </w:style>
  <w:style w:type="paragraph" w:customStyle="1" w:styleId="Contents4">
    <w:name w:val="Contents 4"/>
    <w:basedOn w:val="Standard"/>
    <w:next w:val="Standard"/>
    <w:pPr>
      <w:tabs>
        <w:tab w:val="left" w:leader="dot" w:pos="11880"/>
        <w:tab w:val="right" w:pos="12240"/>
      </w:tabs>
      <w:ind w:left="2880" w:right="720" w:hanging="720"/>
    </w:pPr>
    <w:rPr>
      <w:lang w:val="en-US"/>
    </w:rPr>
  </w:style>
  <w:style w:type="paragraph" w:customStyle="1" w:styleId="Contents5">
    <w:name w:val="Contents 5"/>
    <w:basedOn w:val="Standard"/>
    <w:next w:val="Standard"/>
    <w:pPr>
      <w:tabs>
        <w:tab w:val="left" w:leader="dot" w:pos="12600"/>
        <w:tab w:val="right" w:pos="12960"/>
      </w:tabs>
      <w:ind w:left="3600" w:right="720" w:hanging="720"/>
    </w:pPr>
    <w:rPr>
      <w:lang w:val="en-US"/>
    </w:rPr>
  </w:style>
  <w:style w:type="paragraph" w:customStyle="1" w:styleId="Contents6">
    <w:name w:val="Contents 6"/>
    <w:basedOn w:val="Standard"/>
    <w:next w:val="Standard"/>
    <w:pPr>
      <w:tabs>
        <w:tab w:val="left" w:pos="9720"/>
        <w:tab w:val="right" w:pos="10080"/>
      </w:tabs>
      <w:ind w:left="720" w:hanging="720"/>
    </w:pPr>
    <w:rPr>
      <w:lang w:val="en-US"/>
    </w:rPr>
  </w:style>
  <w:style w:type="paragraph" w:customStyle="1" w:styleId="Contents7">
    <w:name w:val="Contents 7"/>
    <w:basedOn w:val="Standard"/>
    <w:next w:val="Standard"/>
    <w:pPr>
      <w:ind w:left="720" w:hanging="720"/>
    </w:pPr>
    <w:rPr>
      <w:lang w:val="en-US"/>
    </w:rPr>
  </w:style>
  <w:style w:type="paragraph" w:customStyle="1" w:styleId="Contents8">
    <w:name w:val="Contents 8"/>
    <w:basedOn w:val="Standard"/>
    <w:next w:val="Standard"/>
    <w:pPr>
      <w:tabs>
        <w:tab w:val="left" w:pos="9720"/>
        <w:tab w:val="right" w:pos="10080"/>
      </w:tabs>
      <w:ind w:left="720" w:hanging="720"/>
    </w:pPr>
    <w:rPr>
      <w:lang w:val="en-US"/>
    </w:rPr>
  </w:style>
  <w:style w:type="paragraph" w:customStyle="1" w:styleId="Contents9">
    <w:name w:val="Contents 9"/>
    <w:basedOn w:val="Standard"/>
    <w:next w:val="Standard"/>
    <w:pPr>
      <w:tabs>
        <w:tab w:val="left" w:leader="dot" w:pos="9720"/>
        <w:tab w:val="right" w:pos="10080"/>
      </w:tabs>
      <w:ind w:left="720" w:hanging="720"/>
    </w:pPr>
    <w:rPr>
      <w:lang w:val="en-US"/>
    </w:rPr>
  </w:style>
  <w:style w:type="paragraph" w:customStyle="1" w:styleId="ndice1">
    <w:name w:val="índice 1"/>
    <w:basedOn w:val="Standard"/>
    <w:pPr>
      <w:tabs>
        <w:tab w:val="left" w:leader="dot" w:pos="10440"/>
        <w:tab w:val="right" w:pos="10800"/>
      </w:tabs>
      <w:ind w:left="1440" w:right="720" w:hanging="1440"/>
    </w:pPr>
    <w:rPr>
      <w:lang w:val="en-US"/>
    </w:rPr>
  </w:style>
  <w:style w:type="paragraph" w:customStyle="1" w:styleId="ndice2">
    <w:name w:val="índice 2"/>
    <w:basedOn w:val="Standard"/>
    <w:pPr>
      <w:tabs>
        <w:tab w:val="left" w:leader="dot" w:pos="10440"/>
        <w:tab w:val="right" w:pos="10800"/>
      </w:tabs>
      <w:ind w:left="1440" w:right="720" w:hanging="720"/>
    </w:pPr>
    <w:rPr>
      <w:lang w:val="en-US"/>
    </w:rPr>
  </w:style>
  <w:style w:type="paragraph" w:customStyle="1" w:styleId="toa">
    <w:name w:val="toa"/>
    <w:basedOn w:val="Standard"/>
    <w:pPr>
      <w:tabs>
        <w:tab w:val="left" w:pos="9000"/>
        <w:tab w:val="right" w:pos="9360"/>
      </w:tabs>
    </w:pPr>
    <w:rPr>
      <w:lang w:val="en-US"/>
    </w:rPr>
  </w:style>
  <w:style w:type="paragraph" w:customStyle="1" w:styleId="epgrafe">
    <w:name w:val="epígrafe"/>
    <w:basedOn w:val="Standard"/>
  </w:style>
  <w:style w:type="paragraph" w:styleId="ndice10">
    <w:name w:val="index 1"/>
    <w:basedOn w:val="Standard"/>
    <w:next w:val="Standard"/>
    <w:uiPriority w:val="99"/>
    <w:pPr>
      <w:tabs>
        <w:tab w:val="right" w:pos="4867"/>
      </w:tabs>
      <w:ind w:left="240" w:hanging="240"/>
    </w:pPr>
    <w:rPr>
      <w:rFonts w:ascii="Times New Roman" w:hAnsi="Times New Roman" w:cs="Times New Roman"/>
      <w:sz w:val="18"/>
    </w:rPr>
  </w:style>
  <w:style w:type="paragraph" w:styleId="ndice20">
    <w:name w:val="index 2"/>
    <w:basedOn w:val="Standard"/>
    <w:next w:val="Standard"/>
    <w:uiPriority w:val="99"/>
    <w:pPr>
      <w:tabs>
        <w:tab w:val="right" w:pos="5107"/>
      </w:tabs>
      <w:ind w:left="480" w:hanging="240"/>
    </w:pPr>
    <w:rPr>
      <w:rFonts w:ascii="Times New Roman" w:hAnsi="Times New Roman" w:cs="Times New Roman"/>
      <w:sz w:val="18"/>
    </w:rPr>
  </w:style>
  <w:style w:type="paragraph" w:styleId="ndice3">
    <w:name w:val="index 3"/>
    <w:basedOn w:val="Standard"/>
    <w:next w:val="Standard"/>
    <w:uiPriority w:val="99"/>
    <w:pPr>
      <w:tabs>
        <w:tab w:val="right" w:pos="5347"/>
      </w:tabs>
      <w:ind w:left="720" w:hanging="240"/>
    </w:pPr>
    <w:rPr>
      <w:rFonts w:ascii="Times New Roman" w:hAnsi="Times New Roman" w:cs="Times New Roman"/>
      <w:sz w:val="18"/>
    </w:rPr>
  </w:style>
  <w:style w:type="paragraph" w:styleId="ndice4">
    <w:name w:val="index 4"/>
    <w:basedOn w:val="Standard"/>
    <w:next w:val="Standard"/>
    <w:uiPriority w:val="99"/>
    <w:pPr>
      <w:tabs>
        <w:tab w:val="right" w:pos="5587"/>
      </w:tabs>
      <w:ind w:left="960" w:hanging="240"/>
    </w:pPr>
    <w:rPr>
      <w:rFonts w:ascii="Times New Roman" w:hAnsi="Times New Roman" w:cs="Times New Roman"/>
      <w:sz w:val="18"/>
    </w:rPr>
  </w:style>
  <w:style w:type="paragraph" w:styleId="ndice5">
    <w:name w:val="index 5"/>
    <w:basedOn w:val="Standard"/>
    <w:next w:val="Standard"/>
    <w:uiPriority w:val="99"/>
    <w:pPr>
      <w:tabs>
        <w:tab w:val="right" w:pos="5827"/>
      </w:tabs>
      <w:ind w:left="1200" w:hanging="240"/>
    </w:pPr>
    <w:rPr>
      <w:rFonts w:ascii="Times New Roman" w:hAnsi="Times New Roman" w:cs="Times New Roman"/>
      <w:sz w:val="18"/>
    </w:rPr>
  </w:style>
  <w:style w:type="paragraph" w:styleId="ndice6">
    <w:name w:val="index 6"/>
    <w:basedOn w:val="Standard"/>
    <w:next w:val="Standard"/>
    <w:uiPriority w:val="99"/>
    <w:pPr>
      <w:tabs>
        <w:tab w:val="right" w:pos="6067"/>
      </w:tabs>
      <w:ind w:left="1440" w:hanging="240"/>
    </w:pPr>
    <w:rPr>
      <w:rFonts w:ascii="Times New Roman" w:hAnsi="Times New Roman" w:cs="Times New Roman"/>
      <w:sz w:val="18"/>
    </w:rPr>
  </w:style>
  <w:style w:type="paragraph" w:styleId="ndice7">
    <w:name w:val="index 7"/>
    <w:basedOn w:val="Standard"/>
    <w:next w:val="Standard"/>
    <w:uiPriority w:val="99"/>
    <w:pPr>
      <w:tabs>
        <w:tab w:val="right" w:pos="6307"/>
      </w:tabs>
      <w:ind w:left="1680" w:hanging="240"/>
    </w:pPr>
    <w:rPr>
      <w:rFonts w:ascii="Times New Roman" w:hAnsi="Times New Roman" w:cs="Times New Roman"/>
      <w:sz w:val="18"/>
    </w:rPr>
  </w:style>
  <w:style w:type="paragraph" w:styleId="ndice8">
    <w:name w:val="index 8"/>
    <w:basedOn w:val="Standard"/>
    <w:next w:val="Standard"/>
    <w:uiPriority w:val="99"/>
    <w:pPr>
      <w:tabs>
        <w:tab w:val="right" w:pos="6547"/>
      </w:tabs>
      <w:ind w:left="1920" w:hanging="240"/>
    </w:pPr>
    <w:rPr>
      <w:rFonts w:ascii="Times New Roman" w:hAnsi="Times New Roman" w:cs="Times New Roman"/>
      <w:sz w:val="18"/>
    </w:rPr>
  </w:style>
  <w:style w:type="paragraph" w:styleId="ndice9">
    <w:name w:val="index 9"/>
    <w:basedOn w:val="Standard"/>
    <w:next w:val="Standard"/>
    <w:uiPriority w:val="99"/>
    <w:pPr>
      <w:tabs>
        <w:tab w:val="right" w:pos="6787"/>
      </w:tabs>
      <w:ind w:left="2160" w:hanging="240"/>
    </w:pPr>
    <w:rPr>
      <w:rFonts w:ascii="Times New Roman" w:hAnsi="Times New Roman" w:cs="Times New Roman"/>
      <w:sz w:val="18"/>
    </w:rPr>
  </w:style>
  <w:style w:type="paragraph" w:styleId="Ttulodendice">
    <w:name w:val="index heading"/>
    <w:basedOn w:val="Standard"/>
    <w:next w:val="ndice10"/>
    <w:uiPriority w:val="99"/>
    <w:pPr>
      <w:spacing w:before="240" w:after="120"/>
      <w:jc w:val="center"/>
    </w:pPr>
    <w:rPr>
      <w:rFonts w:ascii="Times New Roman" w:hAnsi="Times New Roman" w:cs="Times New Roman"/>
      <w:b/>
      <w:sz w:val="26"/>
    </w:rPr>
  </w:style>
  <w:style w:type="paragraph" w:styleId="Encabezado">
    <w:name w:val="header"/>
    <w:basedOn w:val="Normal"/>
    <w:link w:val="EncabezadoCar"/>
    <w:uiPriority w:val="99"/>
    <w:pPr>
      <w:tabs>
        <w:tab w:val="center" w:pos="4419"/>
        <w:tab w:val="right" w:pos="8838"/>
      </w:tabs>
    </w:pPr>
    <w:rPr>
      <w:rFonts w:cs="Mangal"/>
      <w:szCs w:val="21"/>
    </w:rPr>
  </w:style>
  <w:style w:type="character" w:customStyle="1" w:styleId="EncabezadoCar">
    <w:name w:val="Encabezado Car"/>
    <w:basedOn w:val="Fuentedeprrafopredeter"/>
    <w:link w:val="Encabezado"/>
    <w:uiPriority w:val="99"/>
    <w:locked/>
    <w:rPr>
      <w:rFonts w:cs="Mangal"/>
      <w:sz w:val="21"/>
      <w:szCs w:val="21"/>
    </w:rPr>
  </w:style>
  <w:style w:type="paragraph" w:styleId="Piedepgina">
    <w:name w:val="footer"/>
    <w:basedOn w:val="Normal"/>
    <w:link w:val="PiedepginaCar"/>
    <w:uiPriority w:val="99"/>
    <w:pPr>
      <w:tabs>
        <w:tab w:val="center" w:pos="4419"/>
        <w:tab w:val="right" w:pos="8838"/>
      </w:tabs>
    </w:pPr>
    <w:rPr>
      <w:rFonts w:cs="Mangal"/>
      <w:szCs w:val="21"/>
    </w:rPr>
  </w:style>
  <w:style w:type="character" w:customStyle="1" w:styleId="PiedepginaCar">
    <w:name w:val="Pie de página Car"/>
    <w:basedOn w:val="Fuentedeprrafopredeter"/>
    <w:link w:val="Piedepgina"/>
    <w:uiPriority w:val="99"/>
    <w:locked/>
    <w:rPr>
      <w:rFonts w:cs="Mangal"/>
      <w:sz w:val="21"/>
      <w:szCs w:val="21"/>
    </w:rPr>
  </w:style>
  <w:style w:type="paragraph" w:customStyle="1" w:styleId="Textbodyindent">
    <w:name w:val="Text body indent"/>
    <w:basedOn w:val="Standard"/>
    <w:pPr>
      <w:tabs>
        <w:tab w:val="left" w:pos="4383"/>
        <w:tab w:val="left" w:pos="10206"/>
      </w:tabs>
      <w:ind w:left="5103" w:hanging="5103"/>
      <w:jc w:val="both"/>
    </w:pPr>
    <w:rPr>
      <w:rFonts w:ascii="Arial" w:hAnsi="Arial" w:cs="Arial"/>
      <w:spacing w:val="-3"/>
      <w:sz w:val="28"/>
    </w:rPr>
  </w:style>
  <w:style w:type="paragraph" w:styleId="Textoindependiente2">
    <w:name w:val="Body Text 2"/>
    <w:basedOn w:val="Standard"/>
    <w:link w:val="Textoindependiente2Car"/>
    <w:uiPriority w:val="99"/>
    <w:pPr>
      <w:tabs>
        <w:tab w:val="left" w:pos="-720"/>
      </w:tabs>
      <w:ind w:right="851"/>
      <w:jc w:val="both"/>
    </w:pPr>
    <w:rPr>
      <w:rFonts w:ascii="Arial" w:hAnsi="Arial" w:cs="Arial"/>
      <w:spacing w:val="-3"/>
      <w:sz w:val="28"/>
    </w:rPr>
  </w:style>
  <w:style w:type="character" w:customStyle="1" w:styleId="Textoindependiente2Car">
    <w:name w:val="Texto independiente 2 Car"/>
    <w:basedOn w:val="Fuentedeprrafopredeter"/>
    <w:link w:val="Textoindependiente2"/>
    <w:uiPriority w:val="99"/>
    <w:semiHidden/>
    <w:locked/>
    <w:rPr>
      <w:rFonts w:cs="Mangal"/>
      <w:sz w:val="21"/>
      <w:szCs w:val="21"/>
      <w:lang w:bidi="hi-IN"/>
    </w:rPr>
  </w:style>
  <w:style w:type="paragraph" w:styleId="Textoindependiente3">
    <w:name w:val="Body Text 3"/>
    <w:basedOn w:val="Standard"/>
    <w:link w:val="Textoindependiente3Car"/>
    <w:uiPriority w:val="99"/>
    <w:rPr>
      <w:rFonts w:ascii="Arial" w:hAnsi="Arial" w:cs="Arial"/>
      <w:sz w:val="28"/>
    </w:rPr>
  </w:style>
  <w:style w:type="character" w:customStyle="1" w:styleId="Textoindependiente3Car">
    <w:name w:val="Texto independiente 3 Car"/>
    <w:basedOn w:val="Fuentedeprrafopredeter"/>
    <w:link w:val="Textoindependiente3"/>
    <w:uiPriority w:val="99"/>
    <w:semiHidden/>
    <w:locked/>
    <w:rPr>
      <w:rFonts w:cs="Mangal"/>
      <w:sz w:val="14"/>
      <w:szCs w:val="14"/>
      <w:lang w:bidi="hi-IN"/>
    </w:rPr>
  </w:style>
  <w:style w:type="paragraph" w:styleId="Textodebloque">
    <w:name w:val="Block Text"/>
    <w:basedOn w:val="Standard"/>
    <w:uiPriority w:val="99"/>
    <w:pPr>
      <w:ind w:left="851" w:right="851"/>
      <w:jc w:val="both"/>
    </w:pPr>
    <w:rPr>
      <w:rFonts w:ascii="Bookman Old Style" w:hAnsi="Bookman Old Style" w:cs="Bookman Old Style"/>
      <w:sz w:val="22"/>
    </w:rPr>
  </w:style>
  <w:style w:type="paragraph" w:customStyle="1" w:styleId="Documento1">
    <w:name w:val="Documento 1"/>
    <w:pPr>
      <w:keepNext/>
      <w:keepLines/>
      <w:widowControl/>
      <w:tabs>
        <w:tab w:val="left" w:pos="-720"/>
      </w:tabs>
      <w:suppressAutoHyphens/>
      <w:autoSpaceDN w:val="0"/>
    </w:pPr>
    <w:rPr>
      <w:rFonts w:ascii="Courier" w:hAnsi="Courier" w:cs="Courier"/>
      <w:szCs w:val="20"/>
      <w:lang w:val="en-US"/>
    </w:rPr>
  </w:style>
  <w:style w:type="paragraph" w:styleId="Textocomentario">
    <w:name w:val="annotation text"/>
    <w:basedOn w:val="Standard"/>
    <w:link w:val="TextocomentarioCar"/>
    <w:uiPriority w:val="99"/>
    <w:rPr>
      <w:rFonts w:ascii="Arial" w:hAnsi="Arial" w:cs="Arial"/>
      <w:sz w:val="20"/>
    </w:rPr>
  </w:style>
  <w:style w:type="character" w:customStyle="1" w:styleId="TextocomentarioCar">
    <w:name w:val="Texto comentario Car"/>
    <w:basedOn w:val="StandardCar"/>
    <w:link w:val="Textocomentario"/>
    <w:uiPriority w:val="99"/>
    <w:locked/>
    <w:rPr>
      <w:rFonts w:ascii="Arial" w:hAnsi="Arial" w:cs="Arial"/>
      <w:sz w:val="20"/>
      <w:szCs w:val="20"/>
      <w:lang w:bidi="ar-SA"/>
    </w:rPr>
  </w:style>
  <w:style w:type="paragraph" w:customStyle="1" w:styleId="TITULODOS">
    <w:name w:val="TITULO DOS"/>
    <w:basedOn w:val="Ttulo1"/>
    <w:pPr>
      <w:tabs>
        <w:tab w:val="clear" w:pos="4395"/>
        <w:tab w:val="left" w:pos="567"/>
      </w:tabs>
      <w:jc w:val="both"/>
    </w:pPr>
    <w:rPr>
      <w:bCs/>
      <w:spacing w:val="0"/>
      <w:sz w:val="24"/>
      <w:szCs w:val="24"/>
    </w:rPr>
  </w:style>
  <w:style w:type="paragraph" w:customStyle="1" w:styleId="titulotres">
    <w:name w:val="titulo tres"/>
    <w:basedOn w:val="Ttulo1"/>
    <w:pPr>
      <w:widowControl w:val="0"/>
      <w:numPr>
        <w:numId w:val="6"/>
      </w:numPr>
      <w:tabs>
        <w:tab w:val="clear" w:pos="4395"/>
      </w:tabs>
      <w:jc w:val="both"/>
    </w:pPr>
    <w:rPr>
      <w:bCs/>
      <w:spacing w:val="0"/>
      <w:sz w:val="24"/>
      <w:szCs w:val="22"/>
      <w:lang w:bidi="hi-IN"/>
    </w:rPr>
  </w:style>
  <w:style w:type="paragraph" w:customStyle="1" w:styleId="BodyText23">
    <w:name w:val="Body Text 23"/>
    <w:basedOn w:val="Standard"/>
    <w:pPr>
      <w:widowControl w:val="0"/>
      <w:jc w:val="both"/>
    </w:pPr>
    <w:rPr>
      <w:rFonts w:ascii="Arial" w:hAnsi="Arial" w:cs="Arial"/>
      <w:b/>
    </w:rPr>
  </w:style>
  <w:style w:type="paragraph" w:customStyle="1" w:styleId="Car">
    <w:name w:val="Car"/>
    <w:basedOn w:val="Standard"/>
    <w:pPr>
      <w:spacing w:after="160" w:line="240" w:lineRule="exact"/>
    </w:pPr>
    <w:rPr>
      <w:rFonts w:ascii="Tahoma" w:hAnsi="Tahoma" w:cs="Tahoma"/>
      <w:sz w:val="20"/>
      <w:lang w:val="en-US"/>
    </w:rPr>
  </w:style>
  <w:style w:type="paragraph" w:styleId="NormalWeb">
    <w:name w:val="Normal (Web)"/>
    <w:basedOn w:val="Standard"/>
    <w:uiPriority w:val="99"/>
    <w:pPr>
      <w:spacing w:before="100" w:after="100"/>
    </w:pPr>
    <w:rPr>
      <w:rFonts w:ascii="Times New Roman" w:hAnsi="Times New Roman" w:cs="Times New Roman"/>
      <w:szCs w:val="24"/>
      <w:lang w:val="es-CO"/>
    </w:rPr>
  </w:style>
  <w:style w:type="paragraph" w:styleId="Sinespaciado">
    <w:name w:val="No Spacing"/>
    <w:uiPriority w:val="1"/>
    <w:pPr>
      <w:widowControl/>
      <w:suppressAutoHyphens/>
      <w:autoSpaceDN w:val="0"/>
    </w:pPr>
    <w:rPr>
      <w:rFonts w:ascii="Courier New" w:hAnsi="Courier New" w:cs="Courier New"/>
      <w:szCs w:val="20"/>
    </w:rPr>
  </w:style>
  <w:style w:type="paragraph" w:customStyle="1" w:styleId="WW-Default">
    <w:name w:val="WW-Default"/>
    <w:pPr>
      <w:widowControl/>
      <w:suppressAutoHyphens/>
      <w:autoSpaceDE w:val="0"/>
      <w:autoSpaceDN w:val="0"/>
    </w:pPr>
    <w:rPr>
      <w:rFonts w:ascii="Verdana" w:hAnsi="Verdana" w:cs="Verdana"/>
      <w:color w:val="000000"/>
    </w:rPr>
  </w:style>
  <w:style w:type="paragraph" w:styleId="Prrafodelista">
    <w:name w:val="List Paragraph"/>
    <w:basedOn w:val="Standard"/>
    <w:uiPriority w:val="34"/>
    <w:pPr>
      <w:ind w:left="708"/>
    </w:pPr>
  </w:style>
  <w:style w:type="paragraph" w:customStyle="1" w:styleId="Style1">
    <w:name w:val="Style 1"/>
    <w:pPr>
      <w:suppressAutoHyphens/>
      <w:autoSpaceDE w:val="0"/>
      <w:autoSpaceDN w:val="0"/>
    </w:pPr>
    <w:rPr>
      <w:rFonts w:ascii="Times New Roman" w:hAnsi="Times New Roman" w:cs="Times New Roman"/>
      <w:sz w:val="20"/>
      <w:szCs w:val="20"/>
      <w:lang w:val="en-US"/>
    </w:rPr>
  </w:style>
  <w:style w:type="paragraph" w:customStyle="1" w:styleId="Style2">
    <w:name w:val="Style 2"/>
    <w:pPr>
      <w:suppressAutoHyphens/>
      <w:autoSpaceDE w:val="0"/>
      <w:autoSpaceDN w:val="0"/>
      <w:spacing w:before="144" w:line="312" w:lineRule="auto"/>
    </w:pPr>
    <w:rPr>
      <w:rFonts w:ascii="Bookman Old Style" w:hAnsi="Bookman Old Style" w:cs="Bookman Old Style"/>
      <w:sz w:val="22"/>
      <w:szCs w:val="22"/>
      <w:lang w:val="en-US"/>
    </w:rPr>
  </w:style>
  <w:style w:type="paragraph" w:customStyle="1" w:styleId="Style3">
    <w:name w:val="Style 3"/>
    <w:pPr>
      <w:suppressAutoHyphens/>
      <w:autoSpaceDE w:val="0"/>
      <w:autoSpaceDN w:val="0"/>
      <w:ind w:left="360"/>
    </w:pPr>
    <w:rPr>
      <w:rFonts w:ascii="Times New Roman" w:hAnsi="Times New Roman" w:cs="Times New Roman"/>
      <w:sz w:val="26"/>
      <w:szCs w:val="26"/>
      <w:lang w:val="en-US"/>
    </w:rPr>
  </w:style>
  <w:style w:type="paragraph" w:customStyle="1" w:styleId="Style7">
    <w:name w:val="Style 7"/>
    <w:pPr>
      <w:suppressAutoHyphens/>
      <w:autoSpaceDE w:val="0"/>
      <w:autoSpaceDN w:val="0"/>
    </w:pPr>
    <w:rPr>
      <w:rFonts w:ascii="Times New Roman" w:hAnsi="Times New Roman" w:cs="Times New Roman"/>
      <w:sz w:val="20"/>
      <w:szCs w:val="20"/>
      <w:lang w:val="en-US"/>
    </w:rPr>
  </w:style>
  <w:style w:type="paragraph" w:customStyle="1" w:styleId="Style8">
    <w:name w:val="Style 8"/>
    <w:pPr>
      <w:suppressAutoHyphens/>
      <w:autoSpaceDE w:val="0"/>
      <w:autoSpaceDN w:val="0"/>
      <w:ind w:left="936" w:hanging="504"/>
    </w:pPr>
    <w:rPr>
      <w:rFonts w:ascii="Arial" w:hAnsi="Arial" w:cs="Arial"/>
      <w:lang w:val="en-US"/>
    </w:rPr>
  </w:style>
  <w:style w:type="paragraph" w:customStyle="1" w:styleId="Style6">
    <w:name w:val="Style 6"/>
    <w:pPr>
      <w:suppressAutoHyphens/>
      <w:autoSpaceDE w:val="0"/>
      <w:autoSpaceDN w:val="0"/>
      <w:spacing w:line="204" w:lineRule="auto"/>
      <w:ind w:left="288"/>
    </w:pPr>
    <w:rPr>
      <w:rFonts w:ascii="Arial" w:hAnsi="Arial" w:cs="Arial"/>
      <w:lang w:val="en-US"/>
    </w:rPr>
  </w:style>
  <w:style w:type="paragraph" w:styleId="Textodeglobo">
    <w:name w:val="Balloon Text"/>
    <w:basedOn w:val="Normal"/>
    <w:link w:val="TextodegloboCar"/>
    <w:uiPriority w:val="99"/>
    <w:rPr>
      <w:rFonts w:ascii="Tahoma" w:hAnsi="Tahoma" w:cs="Mangal"/>
      <w:sz w:val="16"/>
      <w:szCs w:val="14"/>
    </w:rPr>
  </w:style>
  <w:style w:type="character" w:customStyle="1" w:styleId="TextodegloboCar">
    <w:name w:val="Texto de globo Car"/>
    <w:basedOn w:val="Fuentedeprrafopredeter"/>
    <w:link w:val="Textodeglobo"/>
    <w:uiPriority w:val="99"/>
    <w:locked/>
    <w:rPr>
      <w:rFonts w:ascii="Tahoma" w:hAnsi="Tahoma" w:cs="Mangal"/>
      <w:sz w:val="14"/>
      <w:szCs w:val="14"/>
    </w:rPr>
  </w:style>
  <w:style w:type="character" w:customStyle="1" w:styleId="WW8Num1z0">
    <w:name w:val="WW8Num1z0"/>
    <w:rPr>
      <w:rFonts w:ascii="Arial" w:hAnsi="Arial"/>
      <w:spacing w:val="6"/>
      <w:sz w:val="22"/>
    </w:rPr>
  </w:style>
  <w:style w:type="character" w:customStyle="1" w:styleId="WW8Num2z0">
    <w:name w:val="WW8Num2z0"/>
    <w:rPr>
      <w:rFonts w:ascii="Arial" w:hAnsi="Arial"/>
      <w:sz w:val="24"/>
    </w:rPr>
  </w:style>
  <w:style w:type="character" w:customStyle="1" w:styleId="WW8Num5z0">
    <w:name w:val="WW8Num5z0"/>
  </w:style>
  <w:style w:type="character" w:customStyle="1" w:styleId="WW8Num8z0">
    <w:name w:val="WW8Num8z0"/>
    <w:rPr>
      <w:rFonts w:ascii="Arial" w:hAnsi="Arial"/>
      <w:sz w:val="22"/>
    </w:rPr>
  </w:style>
  <w:style w:type="character" w:customStyle="1" w:styleId="WW8Num9z0">
    <w:name w:val="WW8Num9z0"/>
    <w:rPr>
      <w:rFonts w:ascii="Symbol" w:hAnsi="Symbol"/>
    </w:rPr>
  </w:style>
  <w:style w:type="character" w:customStyle="1" w:styleId="WW8Num9z1">
    <w:name w:val="WW8Num9z1"/>
    <w:rPr>
      <w:rFonts w:ascii="Courier New" w:hAnsi="Courier New"/>
    </w:rPr>
  </w:style>
  <w:style w:type="character" w:customStyle="1" w:styleId="WW8Num9z2">
    <w:name w:val="WW8Num9z2"/>
    <w:rPr>
      <w:rFonts w:ascii="Wingdings" w:hAnsi="Wingdings"/>
    </w:rPr>
  </w:style>
  <w:style w:type="character" w:customStyle="1" w:styleId="WW8Num14z0">
    <w:name w:val="WW8Num14z0"/>
  </w:style>
  <w:style w:type="character" w:customStyle="1" w:styleId="Fuentedeencabezadopredeter">
    <w:name w:val="Fuente de encabezado predeter."/>
  </w:style>
  <w:style w:type="character" w:customStyle="1" w:styleId="EquationCaption">
    <w:name w:val="_Equation Caption"/>
  </w:style>
  <w:style w:type="character" w:styleId="Nmerodepgina">
    <w:name w:val="page number"/>
    <w:basedOn w:val="Fuentedeprrafopredeter"/>
    <w:uiPriority w:val="99"/>
    <w:rPr>
      <w:rFonts w:cs="Times New Roman"/>
    </w:rPr>
  </w:style>
  <w:style w:type="character" w:customStyle="1" w:styleId="Internetlink">
    <w:name w:val="Internet link"/>
    <w:rPr>
      <w:color w:val="0000FF"/>
      <w:u w:val="single"/>
    </w:rPr>
  </w:style>
  <w:style w:type="character" w:customStyle="1" w:styleId="StrongEmphasis">
    <w:name w:val="Strong Emphasis"/>
    <w:rPr>
      <w:b/>
    </w:rPr>
  </w:style>
  <w:style w:type="character" w:customStyle="1" w:styleId="CharacterStyle1">
    <w:name w:val="Character Style 1"/>
    <w:rPr>
      <w:rFonts w:ascii="Bookman Old Style" w:hAnsi="Bookman Old Style"/>
      <w:sz w:val="22"/>
    </w:rPr>
  </w:style>
  <w:style w:type="character" w:customStyle="1" w:styleId="CharacterStyle2">
    <w:name w:val="Character Style 2"/>
    <w:rPr>
      <w:sz w:val="26"/>
    </w:rPr>
  </w:style>
  <w:style w:type="character" w:customStyle="1" w:styleId="Fuentedeprrafopredeter0">
    <w:name w:val="Fuente de párrafo predeter"/>
  </w:style>
  <w:style w:type="character" w:styleId="Refdecomentario">
    <w:name w:val="annotation reference"/>
    <w:basedOn w:val="Fuentedeprrafopredeter"/>
    <w:uiPriority w:val="99"/>
    <w:rPr>
      <w:rFonts w:cs="Times New Roman"/>
      <w:sz w:val="16"/>
      <w:szCs w:val="16"/>
    </w:rPr>
  </w:style>
  <w:style w:type="paragraph" w:styleId="Asuntodelcomentario">
    <w:name w:val="annotation subject"/>
    <w:basedOn w:val="Textocomentario"/>
    <w:next w:val="Textocomentario"/>
    <w:link w:val="AsuntodelcomentarioCar"/>
    <w:uiPriority w:val="99"/>
    <w:pPr>
      <w:widowControl w:val="0"/>
    </w:pPr>
    <w:rPr>
      <w:rFonts w:ascii="Liberation Serif" w:hAnsi="Liberation Serif" w:cs="Mangal"/>
      <w:b/>
      <w:bCs/>
      <w:szCs w:val="18"/>
      <w:lang w:bidi="hi-IN"/>
    </w:rPr>
  </w:style>
  <w:style w:type="character" w:customStyle="1" w:styleId="AsuntodelcomentarioCar">
    <w:name w:val="Asunto del comentario Car"/>
    <w:basedOn w:val="TextocomentarioCar"/>
    <w:link w:val="Asuntodelcomentario"/>
    <w:uiPriority w:val="99"/>
    <w:locked/>
    <w:rPr>
      <w:rFonts w:ascii="Arial" w:hAnsi="Arial" w:cs="Mangal"/>
      <w:b/>
      <w:bCs/>
      <w:sz w:val="18"/>
      <w:szCs w:val="18"/>
      <w:lang w:bidi="ar-SA"/>
    </w:rPr>
  </w:style>
  <w:style w:type="character" w:customStyle="1" w:styleId="StandardCar">
    <w:name w:val="Standard Car"/>
    <w:basedOn w:val="Fuentedeprrafopredeter"/>
    <w:rPr>
      <w:rFonts w:ascii="Courier New" w:hAnsi="Courier New" w:cs="Courier New"/>
      <w:sz w:val="20"/>
      <w:szCs w:val="20"/>
      <w:lang w:bidi="ar-SA"/>
    </w:rPr>
  </w:style>
  <w:style w:type="character" w:customStyle="1" w:styleId="PrrafodelistaCar">
    <w:name w:val="Párrafo de lista Car"/>
    <w:rPr>
      <w:rFonts w:ascii="Courier New" w:hAnsi="Courier New"/>
      <w:sz w:val="20"/>
    </w:rPr>
  </w:style>
  <w:style w:type="paragraph" w:customStyle="1" w:styleId="Normal1">
    <w:name w:val="Normal 1"/>
    <w:basedOn w:val="Sangranormal"/>
    <w:pPr>
      <w:widowControl/>
      <w:ind w:left="864" w:hanging="864"/>
      <w:jc w:val="both"/>
      <w:textAlignment w:val="auto"/>
    </w:pPr>
    <w:rPr>
      <w:rFonts w:ascii="Times New Roman" w:hAnsi="Times New Roman" w:cs="Times New Roman"/>
      <w:kern w:val="0"/>
      <w:szCs w:val="24"/>
      <w:lang w:val="es" w:eastAsia="es-ES" w:bidi="ar-SA"/>
    </w:rPr>
  </w:style>
  <w:style w:type="character" w:styleId="Refdenotaalpie">
    <w:name w:val="footnote reference"/>
    <w:basedOn w:val="Fuentedeprrafopredeter"/>
    <w:uiPriority w:val="99"/>
    <w:rPr>
      <w:rFonts w:cs="Times New Roman"/>
      <w:position w:val="0"/>
      <w:vertAlign w:val="superscript"/>
    </w:rPr>
  </w:style>
  <w:style w:type="paragraph" w:styleId="Textonotapie">
    <w:name w:val="footnote text"/>
    <w:basedOn w:val="Normal"/>
    <w:link w:val="TextonotapieCar"/>
    <w:uiPriority w:val="99"/>
    <w:pPr>
      <w:widowControl/>
      <w:textAlignment w:val="auto"/>
    </w:pPr>
    <w:rPr>
      <w:rFonts w:ascii="Times New Roman" w:hAnsi="Times New Roman" w:cs="Times New Roman"/>
      <w:kern w:val="0"/>
      <w:sz w:val="20"/>
      <w:szCs w:val="20"/>
      <w:lang w:eastAsia="es-ES" w:bidi="ar-SA"/>
    </w:rPr>
  </w:style>
  <w:style w:type="character" w:customStyle="1" w:styleId="TextonotapieCar">
    <w:name w:val="Texto nota pie Car"/>
    <w:basedOn w:val="Fuentedeprrafopredeter"/>
    <w:link w:val="Textonotapie"/>
    <w:uiPriority w:val="99"/>
    <w:locked/>
    <w:rPr>
      <w:rFonts w:ascii="Times New Roman" w:hAnsi="Times New Roman" w:cs="Times New Roman"/>
      <w:kern w:val="0"/>
      <w:sz w:val="20"/>
      <w:szCs w:val="20"/>
      <w:lang w:val="x-none" w:eastAsia="es-ES" w:bidi="ar-SA"/>
    </w:rPr>
  </w:style>
  <w:style w:type="paragraph" w:styleId="Sangranormal">
    <w:name w:val="Normal Indent"/>
    <w:basedOn w:val="Normal"/>
    <w:uiPriority w:val="99"/>
    <w:pPr>
      <w:ind w:left="708"/>
    </w:pPr>
    <w:rPr>
      <w:rFonts w:cs="Mangal"/>
      <w:szCs w:val="21"/>
    </w:rPr>
  </w:style>
  <w:style w:type="paragraph" w:customStyle="1" w:styleId="pa7">
    <w:name w:val="pa7"/>
    <w:basedOn w:val="Normal"/>
    <w:pPr>
      <w:widowControl/>
      <w:spacing w:before="100" w:after="100"/>
      <w:textAlignment w:val="auto"/>
    </w:pPr>
    <w:rPr>
      <w:rFonts w:ascii="Times New Roman" w:hAnsi="Times New Roman" w:cs="Times New Roman"/>
      <w:kern w:val="0"/>
      <w:lang w:val="es-CO" w:eastAsia="es-CO" w:bidi="ar-SA"/>
    </w:rPr>
  </w:style>
  <w:style w:type="character" w:customStyle="1" w:styleId="spelle">
    <w:name w:val="spelle"/>
    <w:basedOn w:val="Fuentedeprrafopredeter"/>
    <w:rPr>
      <w:rFonts w:cs="Times New Roman"/>
    </w:rPr>
  </w:style>
  <w:style w:type="paragraph" w:styleId="Textoindependiente">
    <w:name w:val="Body Text"/>
    <w:basedOn w:val="Normal"/>
    <w:link w:val="TextoindependienteCar"/>
    <w:uiPriority w:val="99"/>
    <w:pPr>
      <w:spacing w:after="120"/>
    </w:pPr>
    <w:rPr>
      <w:rFonts w:cs="Mangal"/>
      <w:szCs w:val="21"/>
    </w:rPr>
  </w:style>
  <w:style w:type="character" w:customStyle="1" w:styleId="TextoindependienteCar">
    <w:name w:val="Texto independiente Car"/>
    <w:basedOn w:val="Fuentedeprrafopredeter"/>
    <w:link w:val="Textoindependiente"/>
    <w:uiPriority w:val="99"/>
    <w:locked/>
    <w:rPr>
      <w:rFonts w:cs="Mangal"/>
      <w:sz w:val="21"/>
      <w:szCs w:val="21"/>
    </w:rPr>
  </w:style>
  <w:style w:type="character" w:styleId="Hipervnculo">
    <w:name w:val="Hyperlink"/>
    <w:basedOn w:val="Fuentedeprrafopredeter"/>
    <w:uiPriority w:val="99"/>
    <w:rPr>
      <w:rFonts w:cs="Times New Roman"/>
      <w:color w:val="0000FF"/>
      <w:u w:val="single"/>
    </w:rPr>
  </w:style>
  <w:style w:type="paragraph" w:customStyle="1" w:styleId="Default">
    <w:name w:val="Default"/>
    <w:pPr>
      <w:widowControl/>
      <w:autoSpaceDE w:val="0"/>
      <w:autoSpaceDN w:val="0"/>
      <w:textAlignment w:val="auto"/>
    </w:pPr>
    <w:rPr>
      <w:rFonts w:ascii="Arial" w:hAnsi="Arial" w:cs="Arial"/>
      <w:color w:val="000000"/>
      <w:kern w:val="0"/>
    </w:rPr>
  </w:style>
  <w:style w:type="character" w:customStyle="1" w:styleId="FooterChar">
    <w:name w:val="Footer Char"/>
    <w:basedOn w:val="Fuentedeprrafopredeter"/>
    <w:rPr>
      <w:rFonts w:cs="Mangal"/>
      <w:sz w:val="21"/>
      <w:szCs w:val="21"/>
    </w:rPr>
  </w:style>
  <w:style w:type="character" w:customStyle="1" w:styleId="CommentReference">
    <w:name w:val="Comment Reference"/>
    <w:basedOn w:val="Fuentedeprrafopredeter"/>
    <w:rPr>
      <w:rFonts w:cs="Times New Roman"/>
      <w:sz w:val="16"/>
      <w:szCs w:val="16"/>
    </w:rPr>
  </w:style>
  <w:style w:type="paragraph" w:customStyle="1" w:styleId="CommentText">
    <w:name w:val="Comment Text"/>
    <w:basedOn w:val="Normal"/>
    <w:rPr>
      <w:rFonts w:cs="Mangal"/>
      <w:sz w:val="20"/>
      <w:szCs w:val="18"/>
    </w:rPr>
  </w:style>
  <w:style w:type="character" w:customStyle="1" w:styleId="CommentTextChar">
    <w:name w:val="Comment Text Char"/>
    <w:basedOn w:val="Fuentedeprrafopredeter"/>
    <w:rPr>
      <w:rFonts w:cs="Mangal"/>
      <w:sz w:val="18"/>
      <w:szCs w:val="18"/>
    </w:rPr>
  </w:style>
  <w:style w:type="paragraph" w:customStyle="1" w:styleId="CommentSubject">
    <w:name w:val="Comment Subject"/>
    <w:basedOn w:val="CommentText"/>
    <w:next w:val="CommentText"/>
    <w:rPr>
      <w:b/>
      <w:bCs/>
    </w:rPr>
  </w:style>
  <w:style w:type="character" w:customStyle="1" w:styleId="CommentSubjectChar">
    <w:name w:val="Comment Subject Char"/>
    <w:basedOn w:val="CommentTextChar"/>
    <w:rPr>
      <w:rFonts w:cs="Mangal"/>
      <w:b/>
      <w:bCs/>
      <w:sz w:val="18"/>
      <w:szCs w:val="18"/>
    </w:rPr>
  </w:style>
  <w:style w:type="character" w:customStyle="1" w:styleId="HeaderChar">
    <w:name w:val="Header Char"/>
    <w:basedOn w:val="Fuentedeprrafopredeter"/>
    <w:rPr>
      <w:rFonts w:cs="Mangal"/>
      <w:sz w:val="21"/>
      <w:szCs w:val="21"/>
    </w:rPr>
  </w:style>
  <w:style w:type="paragraph" w:customStyle="1" w:styleId="cuerpotexto">
    <w:name w:val="cuerpotexto"/>
    <w:basedOn w:val="Normal"/>
    <w:pPr>
      <w:widowControl/>
      <w:suppressAutoHyphens w:val="0"/>
      <w:spacing w:before="100" w:after="100"/>
      <w:textAlignment w:val="auto"/>
    </w:pPr>
    <w:rPr>
      <w:rFonts w:ascii="Times New Roman" w:hAnsi="Times New Roman" w:cs="Times New Roman"/>
      <w:kern w:val="0"/>
      <w:lang w:val="es-CO" w:eastAsia="es-CO" w:bidi="ar-SA"/>
    </w:rPr>
  </w:style>
  <w:style w:type="numbering" w:customStyle="1" w:styleId="WW8Num4">
    <w:name w:val="WW8Num4"/>
    <w:pPr>
      <w:numPr>
        <w:numId w:val="4"/>
      </w:numPr>
    </w:pPr>
  </w:style>
  <w:style w:type="numbering" w:customStyle="1" w:styleId="WW8Num3">
    <w:name w:val="WW8Num3"/>
    <w:pPr>
      <w:numPr>
        <w:numId w:val="3"/>
      </w:numPr>
    </w:pPr>
  </w:style>
  <w:style w:type="numbering" w:customStyle="1" w:styleId="WW8Num15">
    <w:name w:val="WW8Num15"/>
    <w:pPr>
      <w:numPr>
        <w:numId w:val="15"/>
      </w:numPr>
    </w:pPr>
  </w:style>
  <w:style w:type="numbering" w:customStyle="1" w:styleId="WW8Num5">
    <w:name w:val="WW8Num5"/>
    <w:pPr>
      <w:numPr>
        <w:numId w:val="5"/>
      </w:numPr>
    </w:pPr>
  </w:style>
  <w:style w:type="numbering" w:customStyle="1" w:styleId="WW8Num17">
    <w:name w:val="WW8Num17"/>
    <w:pPr>
      <w:numPr>
        <w:numId w:val="17"/>
      </w:numPr>
    </w:pPr>
  </w:style>
  <w:style w:type="numbering" w:customStyle="1" w:styleId="WW8Num9">
    <w:name w:val="WW8Num9"/>
    <w:pPr>
      <w:numPr>
        <w:numId w:val="9"/>
      </w:numPr>
    </w:pPr>
  </w:style>
  <w:style w:type="numbering" w:customStyle="1" w:styleId="WW8Num7">
    <w:name w:val="WW8Num7"/>
    <w:pPr>
      <w:numPr>
        <w:numId w:val="7"/>
      </w:numPr>
    </w:pPr>
  </w:style>
  <w:style w:type="numbering" w:customStyle="1" w:styleId="WW8Num19">
    <w:name w:val="WW8Num19"/>
    <w:pPr>
      <w:numPr>
        <w:numId w:val="19"/>
      </w:numPr>
    </w:pPr>
  </w:style>
  <w:style w:type="numbering" w:customStyle="1" w:styleId="WW8Num1">
    <w:name w:val="WW8Num1"/>
    <w:pPr>
      <w:numPr>
        <w:numId w:val="1"/>
      </w:numPr>
    </w:pPr>
  </w:style>
  <w:style w:type="numbering" w:customStyle="1" w:styleId="WW8Num11">
    <w:name w:val="WW8Num11"/>
    <w:pPr>
      <w:numPr>
        <w:numId w:val="11"/>
      </w:numPr>
    </w:pPr>
  </w:style>
  <w:style w:type="numbering" w:customStyle="1" w:styleId="WW8Num18">
    <w:name w:val="WW8Num18"/>
    <w:pPr>
      <w:numPr>
        <w:numId w:val="18"/>
      </w:numPr>
    </w:pPr>
  </w:style>
  <w:style w:type="numbering" w:customStyle="1" w:styleId="WW8Num12">
    <w:name w:val="WW8Num12"/>
    <w:pPr>
      <w:numPr>
        <w:numId w:val="12"/>
      </w:numPr>
    </w:pPr>
  </w:style>
  <w:style w:type="numbering" w:customStyle="1" w:styleId="WW8Num10">
    <w:name w:val="WW8Num10"/>
    <w:pPr>
      <w:numPr>
        <w:numId w:val="10"/>
      </w:numPr>
    </w:pPr>
  </w:style>
  <w:style w:type="numbering" w:customStyle="1" w:styleId="WW8Num16">
    <w:name w:val="WW8Num16"/>
    <w:pPr>
      <w:numPr>
        <w:numId w:val="16"/>
      </w:numPr>
    </w:pPr>
  </w:style>
  <w:style w:type="numbering" w:customStyle="1" w:styleId="WW8Num8">
    <w:name w:val="WW8Num8"/>
    <w:pPr>
      <w:numPr>
        <w:numId w:val="8"/>
      </w:numPr>
    </w:pPr>
  </w:style>
  <w:style w:type="numbering" w:customStyle="1" w:styleId="WW8Num6">
    <w:name w:val="WW8Num6"/>
    <w:pPr>
      <w:numPr>
        <w:numId w:val="6"/>
      </w:numPr>
    </w:pPr>
  </w:style>
  <w:style w:type="numbering" w:customStyle="1" w:styleId="WW8Num2">
    <w:name w:val="WW8Num2"/>
    <w:pPr>
      <w:numPr>
        <w:numId w:val="2"/>
      </w:numPr>
    </w:pPr>
  </w:style>
  <w:style w:type="numbering" w:customStyle="1" w:styleId="WW8Num13">
    <w:name w:val="WW8Num13"/>
    <w:pPr>
      <w:numPr>
        <w:numId w:val="13"/>
      </w:numPr>
    </w:pPr>
  </w:style>
  <w:style w:type="numbering" w:customStyle="1" w:styleId="WW8Num14">
    <w:name w:val="WW8Num14"/>
    <w:pPr>
      <w:numPr>
        <w:numId w:val="1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lexbase.biz/lexbase/normas/leyes/2002/L0787de2002.htm"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basesbiblioteca.uexternado.edu.co:2223/lexbase/normas/Resoluciones/Min-Transporte/2006/R2253de2006.htm" TargetMode="External"/><Relationship Id="rId4" Type="http://schemas.openxmlformats.org/officeDocument/2006/relationships/settings" Target="settings.xml"/><Relationship Id="rId9" Type="http://schemas.openxmlformats.org/officeDocument/2006/relationships/hyperlink" Target="http://basesbiblioteca.uexternado.edu.co:2223/lexbase/normas/Resoluciones/Min-Transporte/2006/R2253de2006.htm"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Norma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7EBC85-1788-4436-831B-EB4A153E73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3318</Words>
  <Characters>18253</Characters>
  <Application>Microsoft Office Word</Application>
  <DocSecurity>0</DocSecurity>
  <Lines>152</Lines>
  <Paragraphs>43</Paragraphs>
  <ScaleCrop>false</ScaleCrop>
  <Company/>
  <LinksUpToDate>false</LinksUpToDate>
  <CharactersWithSpaces>21528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SERVI001</dc:title>
  <dc:subject/>
  <dc:creator>Ministerio de Transporte</dc:creator>
  <cp:keywords/>
  <dc:description/>
  <cp:lastModifiedBy>Jaime Silva Rodriguez</cp:lastModifiedBy>
  <cp:revision>2</cp:revision>
  <cp:lastPrinted>2019-01-03T16:53:00Z</cp:lastPrinted>
  <dcterms:created xsi:type="dcterms:W3CDTF">2021-04-16T17:39:00Z</dcterms:created>
  <dcterms:modified xsi:type="dcterms:W3CDTF">2021-04-16T17:39:00Z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 1">
    <vt:lpwstr/>
  </property>
  <property fmtid="{D5CDD505-2E9C-101B-9397-08002B2CF9AE}" pid="3" name="Info 2">
    <vt:lpwstr/>
  </property>
  <property fmtid="{D5CDD505-2E9C-101B-9397-08002B2CF9AE}" pid="4" name="Info 3">
    <vt:lpwstr/>
  </property>
  <property fmtid="{D5CDD505-2E9C-101B-9397-08002B2CF9AE}" pid="5" name="Info 4">
    <vt:lpwstr/>
  </property>
</Properties>
</file>