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E6466F" w14:textId="77777777" w:rsidR="004B7959" w:rsidRDefault="004B7959">
      <w:pPr>
        <w:ind w:right="-1"/>
        <w:jc w:val="center"/>
        <w:rPr>
          <w:rFonts w:ascii="Work Sans" w:hAnsi="Work Sans" w:cs="Arial"/>
          <w:b/>
          <w:sz w:val="20"/>
          <w:szCs w:val="20"/>
        </w:rPr>
      </w:pPr>
    </w:p>
    <w:p w14:paraId="3729030A" w14:textId="77777777" w:rsidR="004B7959" w:rsidRDefault="008353BB">
      <w:pPr>
        <w:ind w:right="-1"/>
        <w:jc w:val="center"/>
        <w:rPr>
          <w:rFonts w:ascii="Work Sans" w:hAnsi="Work Sans" w:cs="Arial"/>
          <w:b/>
          <w:sz w:val="20"/>
          <w:szCs w:val="20"/>
        </w:rPr>
      </w:pPr>
      <w:r>
        <w:rPr>
          <w:rFonts w:ascii="Work Sans" w:hAnsi="Work Sans" w:cs="Arial"/>
          <w:b/>
          <w:sz w:val="20"/>
          <w:szCs w:val="20"/>
        </w:rPr>
        <w:t xml:space="preserve">EL MINISTRO DE TRANSPORTE </w:t>
      </w:r>
    </w:p>
    <w:p w14:paraId="3B6673FE" w14:textId="77777777" w:rsidR="004B7959" w:rsidRDefault="004B7959">
      <w:pPr>
        <w:widowControl/>
        <w:jc w:val="center"/>
        <w:textAlignment w:val="auto"/>
        <w:rPr>
          <w:rFonts w:ascii="Work Sans" w:eastAsia="DengXian Light" w:hAnsi="Work Sans" w:cs="Arial"/>
          <w:sz w:val="20"/>
          <w:szCs w:val="20"/>
          <w:lang w:bidi="ar-SA"/>
        </w:rPr>
      </w:pPr>
    </w:p>
    <w:p w14:paraId="647CBD8C" w14:textId="77777777" w:rsidR="004B7959" w:rsidRDefault="008353BB">
      <w:pPr>
        <w:widowControl/>
        <w:jc w:val="center"/>
        <w:textAlignment w:val="auto"/>
      </w:pPr>
      <w:r>
        <w:rPr>
          <w:rFonts w:ascii="Work Sans" w:eastAsia="DengXian Light" w:hAnsi="Work Sans" w:cs="Arial"/>
          <w:sz w:val="20"/>
          <w:szCs w:val="20"/>
          <w:lang w:bidi="ar-SA"/>
        </w:rPr>
        <w:t>En ejercicio de las facultades legales y, en especial, las conferidas por el artículo 21 de la </w:t>
      </w:r>
      <w:hyperlink r:id="rId7" w:history="1">
        <w:r>
          <w:rPr>
            <w:rFonts w:ascii="Work Sans" w:eastAsia="DengXian Light" w:hAnsi="Work Sans" w:cs="Arial"/>
            <w:sz w:val="20"/>
            <w:szCs w:val="20"/>
            <w:lang w:bidi="ar-SA"/>
          </w:rPr>
          <w:t>Ley 105 de 1993</w:t>
        </w:r>
      </w:hyperlink>
      <w:r>
        <w:rPr>
          <w:rFonts w:ascii="Work Sans" w:eastAsia="DengXian Light" w:hAnsi="Work Sans" w:cs="Arial"/>
          <w:sz w:val="20"/>
          <w:szCs w:val="20"/>
          <w:lang w:bidi="ar-SA"/>
        </w:rPr>
        <w:t>, modificado parcialmente por el artículo 1º de la </w:t>
      </w:r>
      <w:hyperlink r:id="rId8" w:history="1">
        <w:r>
          <w:rPr>
            <w:rFonts w:ascii="Work Sans" w:eastAsia="DengXian Light" w:hAnsi="Work Sans" w:cs="Arial"/>
            <w:sz w:val="20"/>
            <w:szCs w:val="20"/>
            <w:lang w:bidi="ar-SA"/>
          </w:rPr>
          <w:t>Ley 787 de 2002</w:t>
        </w:r>
      </w:hyperlink>
      <w:r>
        <w:rPr>
          <w:rFonts w:ascii="Work Sans" w:eastAsia="DengXian Light" w:hAnsi="Work Sans" w:cs="Arial"/>
          <w:sz w:val="20"/>
          <w:szCs w:val="20"/>
          <w:lang w:bidi="ar-SA"/>
        </w:rPr>
        <w:t> y el numeral 6.15 del </w:t>
      </w:r>
      <w:bookmarkStart w:id="0" w:name="_Hlt129617500"/>
      <w:bookmarkStart w:id="1" w:name="_Hlt129617501"/>
      <w:r>
        <w:rPr>
          <w:rFonts w:ascii="Work Sans" w:eastAsia="DengXian Light" w:hAnsi="Work Sans" w:cs="Arial"/>
          <w:sz w:val="20"/>
          <w:szCs w:val="20"/>
          <w:lang w:bidi="ar-SA"/>
        </w:rPr>
        <w:t xml:space="preserve">artículo 6° del </w:t>
      </w:r>
      <w:hyperlink r:id="rId9" w:history="1">
        <w:r>
          <w:rPr>
            <w:rFonts w:ascii="Work Sans" w:eastAsia="DengXian Light" w:hAnsi="Work Sans" w:cs="Arial"/>
            <w:sz w:val="20"/>
            <w:szCs w:val="20"/>
            <w:lang w:bidi="ar-SA"/>
          </w:rPr>
          <w:t>Decreto 087 del</w:t>
        </w:r>
        <w:bookmarkStart w:id="2" w:name="_Hlt129617622"/>
        <w:r>
          <w:rPr>
            <w:rFonts w:ascii="Work Sans" w:eastAsia="DengXian Light" w:hAnsi="Work Sans" w:cs="Arial"/>
            <w:sz w:val="20"/>
            <w:szCs w:val="20"/>
            <w:lang w:bidi="ar-SA"/>
          </w:rPr>
          <w:t xml:space="preserve"> </w:t>
        </w:r>
        <w:bookmarkEnd w:id="2"/>
        <w:r>
          <w:rPr>
            <w:rFonts w:ascii="Work Sans" w:eastAsia="DengXian Light" w:hAnsi="Work Sans" w:cs="Arial"/>
            <w:sz w:val="20"/>
            <w:szCs w:val="20"/>
            <w:lang w:bidi="ar-SA"/>
          </w:rPr>
          <w:t>2011</w:t>
        </w:r>
      </w:hyperlink>
      <w:bookmarkEnd w:id="0"/>
      <w:bookmarkEnd w:id="1"/>
      <w:r>
        <w:rPr>
          <w:rFonts w:ascii="Work Sans" w:eastAsia="DengXian Light" w:hAnsi="Work Sans" w:cs="Arial"/>
          <w:sz w:val="20"/>
          <w:szCs w:val="20"/>
          <w:lang w:bidi="ar-SA"/>
        </w:rPr>
        <w:t xml:space="preserve"> y</w:t>
      </w:r>
    </w:p>
    <w:p w14:paraId="2080A1BE" w14:textId="77777777" w:rsidR="004B7959" w:rsidRDefault="008353BB">
      <w:pPr>
        <w:widowControl/>
        <w:jc w:val="both"/>
        <w:textAlignment w:val="auto"/>
        <w:rPr>
          <w:rFonts w:ascii="Work Sans" w:eastAsia="DengXian Light" w:hAnsi="Work Sans" w:cs="Arial"/>
          <w:sz w:val="20"/>
          <w:szCs w:val="20"/>
          <w:lang w:bidi="ar-SA"/>
        </w:rPr>
      </w:pPr>
      <w:r>
        <w:rPr>
          <w:rFonts w:ascii="Work Sans" w:eastAsia="DengXian Light" w:hAnsi="Work Sans" w:cs="Arial"/>
          <w:sz w:val="20"/>
          <w:szCs w:val="20"/>
          <w:lang w:bidi="ar-SA"/>
        </w:rPr>
        <w:t> </w:t>
      </w:r>
    </w:p>
    <w:p w14:paraId="01C9AF7F" w14:textId="77777777" w:rsidR="004B7959" w:rsidRDefault="004B7959">
      <w:pPr>
        <w:widowControl/>
        <w:jc w:val="both"/>
        <w:textAlignment w:val="auto"/>
        <w:rPr>
          <w:rFonts w:ascii="Work Sans" w:eastAsia="DengXian Light" w:hAnsi="Work Sans" w:cs="Arial"/>
          <w:sz w:val="20"/>
          <w:szCs w:val="20"/>
          <w:lang w:bidi="ar-SA"/>
        </w:rPr>
      </w:pPr>
    </w:p>
    <w:p w14:paraId="315E5AD4" w14:textId="77777777" w:rsidR="004B7959" w:rsidRDefault="008353BB">
      <w:pPr>
        <w:jc w:val="center"/>
      </w:pPr>
      <w:r>
        <w:rPr>
          <w:rFonts w:ascii="Work Sans" w:hAnsi="Work Sans" w:cs="Times New Roman"/>
          <w:b/>
          <w:sz w:val="20"/>
          <w:szCs w:val="20"/>
          <w:lang w:eastAsia="es-ES"/>
        </w:rPr>
        <w:t>CONSIDERANDO</w:t>
      </w:r>
    </w:p>
    <w:p w14:paraId="0BCF39A2" w14:textId="77777777" w:rsidR="004B7959" w:rsidRDefault="004B7959">
      <w:pPr>
        <w:pStyle w:val="Standard"/>
        <w:autoSpaceDE w:val="0"/>
        <w:jc w:val="center"/>
        <w:rPr>
          <w:rFonts w:ascii="Work Sans" w:eastAsia="DengXian Light" w:hAnsi="Work Sans" w:cs="Arial"/>
          <w:sz w:val="20"/>
        </w:rPr>
      </w:pPr>
    </w:p>
    <w:p w14:paraId="27E2B254" w14:textId="77777777" w:rsidR="004B7959" w:rsidRDefault="001B133B" w:rsidP="001B133B">
      <w:pPr>
        <w:widowControl/>
        <w:jc w:val="both"/>
        <w:textAlignment w:val="auto"/>
        <w:rPr>
          <w:rFonts w:ascii="Work Sans" w:eastAsia="DengXian Light" w:hAnsi="Work Sans" w:cs="Arial"/>
          <w:sz w:val="20"/>
          <w:szCs w:val="20"/>
          <w:lang w:bidi="ar-SA"/>
        </w:rPr>
      </w:pPr>
      <w:r w:rsidRPr="001B133B">
        <w:rPr>
          <w:rFonts w:ascii="Work Sans" w:eastAsia="DengXian Light" w:hAnsi="Work Sans" w:cs="Arial"/>
          <w:sz w:val="20"/>
          <w:szCs w:val="20"/>
          <w:lang w:bidi="ar-SA"/>
        </w:rPr>
        <w:t>Que el artículo 21° de la Ley 105 de 1993,</w:t>
      </w:r>
      <w:r>
        <w:rPr>
          <w:rFonts w:ascii="Work Sans" w:eastAsia="DengXian Light" w:hAnsi="Work Sans" w:cs="Arial"/>
          <w:sz w:val="20"/>
          <w:szCs w:val="20"/>
          <w:lang w:bidi="ar-SA"/>
        </w:rPr>
        <w:t xml:space="preserve"> </w:t>
      </w:r>
      <w:r w:rsidRPr="001B133B">
        <w:rPr>
          <w:rFonts w:ascii="Work Sans" w:eastAsia="DengXian Light" w:hAnsi="Work Sans" w:cs="Arial"/>
          <w:i/>
          <w:iCs/>
          <w:sz w:val="20"/>
          <w:szCs w:val="20"/>
          <w:lang w:bidi="ar-SA"/>
        </w:rPr>
        <w:t>“Por la cual se dictan disposiciones básicas sobre el transporte, se redistribuyen competencias y recursos entre la Nación y las Entidades Territoriales, se reglamenta la planeación en el sector transporte y se dictan otras disposiciones”</w:t>
      </w:r>
      <w:r w:rsidRPr="001B133B">
        <w:rPr>
          <w:rFonts w:ascii="Work Sans" w:eastAsia="DengXian Light" w:hAnsi="Work Sans" w:cs="Arial"/>
          <w:sz w:val="20"/>
          <w:szCs w:val="20"/>
          <w:lang w:bidi="ar-SA"/>
        </w:rPr>
        <w:t xml:space="preserve"> modificado parcialmente por el artículo 1° de la Ley 787 de 2002, estableció que:</w:t>
      </w:r>
    </w:p>
    <w:p w14:paraId="3EDFF604" w14:textId="77777777" w:rsidR="001B133B" w:rsidRDefault="001B133B" w:rsidP="001B133B">
      <w:pPr>
        <w:widowControl/>
        <w:jc w:val="both"/>
        <w:textAlignment w:val="auto"/>
        <w:rPr>
          <w:rFonts w:ascii="Work Sans" w:eastAsia="DengXian Light" w:hAnsi="Work Sans" w:cs="Arial"/>
          <w:sz w:val="20"/>
          <w:szCs w:val="20"/>
          <w:lang w:bidi="ar-SA"/>
        </w:rPr>
      </w:pPr>
    </w:p>
    <w:p w14:paraId="30EDC574" w14:textId="77777777" w:rsidR="001B133B" w:rsidRPr="00313F48" w:rsidRDefault="001B133B" w:rsidP="00313F48">
      <w:pPr>
        <w:widowControl/>
        <w:ind w:left="567" w:right="680"/>
        <w:jc w:val="both"/>
        <w:textAlignment w:val="auto"/>
        <w:rPr>
          <w:rFonts w:ascii="Work Sans" w:eastAsia="DengXian Light" w:hAnsi="Work Sans" w:cs="Arial"/>
          <w:i/>
          <w:sz w:val="20"/>
          <w:szCs w:val="20"/>
          <w:lang w:val="es" w:bidi="ar-SA"/>
        </w:rPr>
      </w:pPr>
      <w:r w:rsidRPr="00313F48">
        <w:rPr>
          <w:rFonts w:ascii="Work Sans" w:eastAsia="DengXian Light" w:hAnsi="Work Sans" w:cs="Arial"/>
          <w:i/>
          <w:sz w:val="20"/>
          <w:szCs w:val="20"/>
          <w:lang w:val="es" w:bidi="ar-SA"/>
        </w:rPr>
        <w:t>“(…) ARTÍCULO 21.- Tasas, tarifas y peajes en la infraestructura de transporte a cargo de la Nación. Para la construcción y conservación de la infraestructura de transporte a cargo de la Nación, esta contará con los recursos que se apropien en el Presupuestos Nacional y además cobrará el uso de las obras de infraestructura de transporte a los usuarios, buscando garantizar su adecuado mantenimiento, operación y desarrollo.</w:t>
      </w:r>
    </w:p>
    <w:p w14:paraId="2CBCD05A" w14:textId="77777777" w:rsidR="001B133B" w:rsidRPr="00313F48" w:rsidRDefault="001B133B" w:rsidP="00313F48">
      <w:pPr>
        <w:widowControl/>
        <w:ind w:left="567" w:right="680"/>
        <w:jc w:val="both"/>
        <w:textAlignment w:val="auto"/>
        <w:rPr>
          <w:rFonts w:ascii="Work Sans" w:eastAsia="DengXian Light" w:hAnsi="Work Sans" w:cs="Arial"/>
          <w:i/>
          <w:sz w:val="20"/>
          <w:szCs w:val="20"/>
          <w:lang w:val="es" w:bidi="ar-SA"/>
        </w:rPr>
      </w:pPr>
    </w:p>
    <w:p w14:paraId="6291E509" w14:textId="77777777" w:rsidR="001B133B" w:rsidRPr="00313F48" w:rsidRDefault="001B133B" w:rsidP="00313F48">
      <w:pPr>
        <w:widowControl/>
        <w:ind w:left="567" w:right="680"/>
        <w:jc w:val="both"/>
        <w:textAlignment w:val="auto"/>
        <w:rPr>
          <w:rFonts w:ascii="Work Sans" w:eastAsia="DengXian Light" w:hAnsi="Work Sans" w:cs="Arial"/>
          <w:i/>
          <w:sz w:val="20"/>
          <w:szCs w:val="20"/>
          <w:lang w:val="es" w:bidi="ar-SA"/>
        </w:rPr>
      </w:pPr>
      <w:r w:rsidRPr="00313F48">
        <w:rPr>
          <w:rFonts w:ascii="Work Sans" w:eastAsia="DengXian Light" w:hAnsi="Work Sans" w:cs="Arial"/>
          <w:i/>
          <w:sz w:val="20"/>
          <w:szCs w:val="20"/>
          <w:lang w:val="es" w:bidi="ar-SA"/>
        </w:rPr>
        <w:t>Para estos efectos, la Nación establecerá peajes, tarifas y tasas sobre el uso de la infraestructura nacional de transporte y los recursos provenientes de su cobro se usarán exclusivamente para ese modo de transporte. (…)”.</w:t>
      </w:r>
    </w:p>
    <w:p w14:paraId="120C6A08" w14:textId="77777777" w:rsidR="001B133B" w:rsidRDefault="001B133B">
      <w:pPr>
        <w:widowControl/>
        <w:spacing w:after="160"/>
        <w:ind w:right="964"/>
        <w:jc w:val="both"/>
        <w:textAlignment w:val="auto"/>
      </w:pPr>
    </w:p>
    <w:p w14:paraId="014C6DA2" w14:textId="77777777" w:rsidR="001B133B" w:rsidRDefault="001B133B" w:rsidP="001B133B">
      <w:pPr>
        <w:widowControl/>
        <w:jc w:val="both"/>
        <w:textAlignment w:val="auto"/>
        <w:rPr>
          <w:rFonts w:ascii="Work Sans" w:eastAsia="DengXian Light" w:hAnsi="Work Sans" w:cs="Arial"/>
          <w:sz w:val="20"/>
          <w:szCs w:val="20"/>
          <w:lang w:bidi="ar-SA"/>
        </w:rPr>
      </w:pPr>
      <w:r w:rsidRPr="001B133B">
        <w:rPr>
          <w:rFonts w:ascii="Work Sans" w:eastAsia="DengXian Light" w:hAnsi="Work Sans" w:cs="Arial"/>
          <w:sz w:val="20"/>
          <w:szCs w:val="20"/>
          <w:lang w:bidi="ar-SA"/>
        </w:rPr>
        <w:t>Que el Decreto 087 de 2011</w:t>
      </w:r>
      <w:r>
        <w:rPr>
          <w:rFonts w:ascii="Work Sans" w:eastAsia="DengXian Light" w:hAnsi="Work Sans" w:cs="Arial"/>
          <w:sz w:val="20"/>
          <w:szCs w:val="20"/>
          <w:lang w:bidi="ar-SA"/>
        </w:rPr>
        <w:t xml:space="preserve">, </w:t>
      </w:r>
      <w:r w:rsidRPr="001B133B">
        <w:rPr>
          <w:rFonts w:ascii="Work Sans" w:eastAsia="DengXian Light" w:hAnsi="Work Sans" w:cs="Arial"/>
          <w:sz w:val="20"/>
          <w:szCs w:val="20"/>
          <w:lang w:bidi="ar-SA"/>
        </w:rPr>
        <w:t>“Por el cual se modifica la estructura del Ministerio de Transporte, y se determinan las funciones de sus dependencias”</w:t>
      </w:r>
      <w:r>
        <w:rPr>
          <w:rFonts w:ascii="Work Sans" w:eastAsia="DengXian Light" w:hAnsi="Work Sans" w:cs="Arial"/>
          <w:sz w:val="20"/>
          <w:szCs w:val="20"/>
          <w:lang w:bidi="ar-SA"/>
        </w:rPr>
        <w:t>, estableció a su vez en el numeral 6.15 del artículo 6°, que, es función del Despacho del Ministro:</w:t>
      </w:r>
    </w:p>
    <w:p w14:paraId="6C168038" w14:textId="77777777" w:rsidR="001B133B" w:rsidRDefault="001B133B" w:rsidP="001B133B">
      <w:pPr>
        <w:widowControl/>
        <w:jc w:val="both"/>
        <w:textAlignment w:val="auto"/>
        <w:rPr>
          <w:rFonts w:ascii="Work Sans" w:eastAsia="DengXian Light" w:hAnsi="Work Sans" w:cs="Arial"/>
          <w:sz w:val="20"/>
          <w:szCs w:val="20"/>
          <w:lang w:bidi="ar-SA"/>
        </w:rPr>
      </w:pPr>
    </w:p>
    <w:p w14:paraId="3641D02B" w14:textId="77777777" w:rsidR="001B133B" w:rsidRPr="00313F48" w:rsidRDefault="001B133B" w:rsidP="00313F48">
      <w:pPr>
        <w:widowControl/>
        <w:ind w:left="567" w:right="680"/>
        <w:jc w:val="both"/>
        <w:textAlignment w:val="auto"/>
        <w:rPr>
          <w:rFonts w:ascii="Work Sans" w:eastAsia="DengXian Light" w:hAnsi="Work Sans" w:cs="Arial"/>
          <w:i/>
          <w:sz w:val="20"/>
          <w:szCs w:val="20"/>
          <w:lang w:val="es" w:bidi="ar-SA"/>
        </w:rPr>
      </w:pPr>
      <w:r w:rsidRPr="00313F48">
        <w:rPr>
          <w:rFonts w:ascii="Work Sans" w:eastAsia="DengXian Light" w:hAnsi="Work Sans" w:cs="Arial"/>
          <w:i/>
          <w:sz w:val="20"/>
          <w:szCs w:val="20"/>
          <w:lang w:val="es" w:bidi="ar-SA"/>
        </w:rPr>
        <w:t>“6.15. Establecer los peajes, tarifas, tasas y derechos a cobrar por el uso de la infraestructura de los modos de transporte, excepto el aéreo.”</w:t>
      </w:r>
    </w:p>
    <w:p w14:paraId="15DBCF53" w14:textId="77777777" w:rsidR="001B133B" w:rsidRDefault="001B133B" w:rsidP="001B133B">
      <w:pPr>
        <w:widowControl/>
        <w:jc w:val="both"/>
        <w:textAlignment w:val="auto"/>
        <w:rPr>
          <w:rFonts w:ascii="Work Sans" w:eastAsia="DengXian Light" w:hAnsi="Work Sans" w:cs="Arial"/>
          <w:sz w:val="20"/>
          <w:szCs w:val="20"/>
          <w:lang w:bidi="ar-SA"/>
        </w:rPr>
      </w:pPr>
    </w:p>
    <w:p w14:paraId="2CAD647E" w14:textId="77777777" w:rsidR="001B133B" w:rsidRDefault="001B133B" w:rsidP="001B133B">
      <w:pPr>
        <w:widowControl/>
        <w:jc w:val="both"/>
        <w:textAlignment w:val="auto"/>
        <w:rPr>
          <w:rFonts w:ascii="Work Sans" w:eastAsia="DengXian Light" w:hAnsi="Work Sans" w:cs="Arial"/>
          <w:sz w:val="20"/>
          <w:szCs w:val="20"/>
          <w:lang w:bidi="ar-SA"/>
        </w:rPr>
      </w:pPr>
      <w:r w:rsidRPr="001B133B">
        <w:rPr>
          <w:rFonts w:ascii="Work Sans" w:eastAsia="DengXian Light" w:hAnsi="Work Sans" w:cs="Arial"/>
          <w:sz w:val="20"/>
          <w:szCs w:val="20"/>
          <w:lang w:bidi="ar-SA"/>
        </w:rPr>
        <w:t>Que los numerales 1, 5 y 15 del artículo 4° del Decreto 4165 del 2011, establecen que le corresponde a la Agencia Nacional de Infraestructura, identificar, evaluar la viabilidad, y proponer iniciativas de concesión u otras formas de Asociación Público-Privada para el desarrollo de la infraestructura de transporte y de los servicios conexos y relacionados, elaborar los estudios para definir los peajes, tasas, tarifas, contribución de valorización y otras modalidades de retribución por el diseño, construcción, operación, explotación, mantenimiento o rehabilitación de la infraestructura relacionada con los proyectos de concesión u otras formas de Asociación Público-Privada a su cargo y ejercer las potestades y realizar las acciones y actividades necesarias para garantizar la oportuna e idónea ejecución de los contratos a su cargo y para proteger el interés público, de conformidad con la ley.</w:t>
      </w:r>
    </w:p>
    <w:p w14:paraId="12F4F83D" w14:textId="77777777" w:rsidR="001B133B" w:rsidRDefault="001B133B" w:rsidP="001B133B">
      <w:pPr>
        <w:widowControl/>
        <w:jc w:val="both"/>
        <w:textAlignment w:val="auto"/>
        <w:rPr>
          <w:rFonts w:ascii="Work Sans" w:eastAsia="DengXian Light" w:hAnsi="Work Sans" w:cs="Arial"/>
          <w:sz w:val="20"/>
          <w:szCs w:val="20"/>
          <w:lang w:bidi="ar-SA"/>
        </w:rPr>
      </w:pPr>
    </w:p>
    <w:p w14:paraId="5AE3F40E" w14:textId="77777777" w:rsidR="001B133B" w:rsidRDefault="001B133B" w:rsidP="001B133B">
      <w:pPr>
        <w:widowControl/>
        <w:jc w:val="both"/>
        <w:textAlignment w:val="auto"/>
        <w:rPr>
          <w:rFonts w:ascii="Work Sans" w:eastAsia="DengXian Light" w:hAnsi="Work Sans" w:cs="Arial"/>
          <w:sz w:val="20"/>
          <w:szCs w:val="20"/>
          <w:lang w:bidi="ar-SA"/>
        </w:rPr>
      </w:pPr>
      <w:r w:rsidRPr="001B133B">
        <w:rPr>
          <w:rFonts w:ascii="Work Sans" w:eastAsia="DengXian Light" w:hAnsi="Work Sans" w:cs="Arial"/>
          <w:sz w:val="20"/>
          <w:szCs w:val="20"/>
          <w:lang w:bidi="ar-SA"/>
        </w:rPr>
        <w:t>Que igualmente el numeral 14 del artículo 112</w:t>
      </w:r>
      <w:r>
        <w:rPr>
          <w:rFonts w:ascii="Work Sans" w:eastAsia="DengXian Light" w:hAnsi="Work Sans" w:cs="Arial"/>
          <w:sz w:val="20"/>
          <w:szCs w:val="20"/>
          <w:lang w:bidi="ar-SA"/>
        </w:rPr>
        <w:t xml:space="preserve"> </w:t>
      </w:r>
      <w:r w:rsidRPr="001B133B">
        <w:rPr>
          <w:rFonts w:ascii="Work Sans" w:eastAsia="DengXian Light" w:hAnsi="Work Sans" w:cs="Arial"/>
          <w:sz w:val="20"/>
          <w:szCs w:val="20"/>
          <w:lang w:bidi="ar-SA"/>
        </w:rPr>
        <w:t>del Decreto 4165 de 2011, establecen como funciones del Presidente de la Agencia Nacional de Infraestructura:</w:t>
      </w:r>
    </w:p>
    <w:p w14:paraId="7616AA41" w14:textId="77777777" w:rsidR="001B133B" w:rsidRPr="00313F48" w:rsidRDefault="001B133B" w:rsidP="00313F48">
      <w:pPr>
        <w:widowControl/>
        <w:ind w:left="567" w:right="680"/>
        <w:jc w:val="both"/>
        <w:textAlignment w:val="auto"/>
        <w:rPr>
          <w:rFonts w:ascii="Work Sans" w:eastAsia="DengXian Light" w:hAnsi="Work Sans" w:cs="Arial"/>
          <w:i/>
          <w:sz w:val="20"/>
          <w:szCs w:val="20"/>
          <w:lang w:val="es" w:bidi="ar-SA"/>
        </w:rPr>
      </w:pPr>
    </w:p>
    <w:p w14:paraId="5E8E7267" w14:textId="77777777" w:rsidR="001B133B" w:rsidRPr="00313F48" w:rsidRDefault="001B133B" w:rsidP="00313F48">
      <w:pPr>
        <w:widowControl/>
        <w:ind w:left="567" w:right="680"/>
        <w:jc w:val="both"/>
        <w:textAlignment w:val="auto"/>
        <w:rPr>
          <w:rFonts w:ascii="Work Sans" w:eastAsia="DengXian Light" w:hAnsi="Work Sans" w:cs="Arial"/>
          <w:i/>
          <w:sz w:val="20"/>
          <w:szCs w:val="20"/>
          <w:lang w:val="es" w:bidi="ar-SA"/>
        </w:rPr>
      </w:pPr>
      <w:r w:rsidRPr="00313F48">
        <w:rPr>
          <w:rFonts w:ascii="Work Sans" w:eastAsia="DengXian Light" w:hAnsi="Work Sans" w:cs="Arial"/>
          <w:i/>
          <w:sz w:val="20"/>
          <w:szCs w:val="20"/>
          <w:lang w:val="es" w:bidi="ar-SA"/>
        </w:rPr>
        <w:t>"14. Proponer al Ministerio de Transporte o a las entidades competentes, las tarifas de peajes y tasas a cobrar por el uso de las áreas e infraestructura de transporte que haga parte de proyectos a cargo de la Agencia, de acuerdo con las políticas del Ministerio de Transporte"</w:t>
      </w:r>
    </w:p>
    <w:p w14:paraId="19C7BDC0" w14:textId="77777777" w:rsidR="001B133B" w:rsidRDefault="001B133B" w:rsidP="001B133B">
      <w:pPr>
        <w:widowControl/>
        <w:jc w:val="both"/>
        <w:textAlignment w:val="auto"/>
        <w:rPr>
          <w:rFonts w:ascii="Work Sans" w:eastAsia="DengXian Light" w:hAnsi="Work Sans" w:cs="Arial"/>
          <w:sz w:val="20"/>
          <w:szCs w:val="20"/>
          <w:lang w:bidi="ar-SA"/>
        </w:rPr>
      </w:pPr>
    </w:p>
    <w:p w14:paraId="1EC72A8C" w14:textId="77777777" w:rsidR="00313F48" w:rsidRDefault="00AD26EB" w:rsidP="00AD26EB">
      <w:pPr>
        <w:widowControl/>
        <w:jc w:val="both"/>
        <w:textAlignment w:val="auto"/>
        <w:rPr>
          <w:rFonts w:ascii="Work Sans" w:eastAsia="DengXian Light" w:hAnsi="Work Sans" w:cs="Arial"/>
          <w:sz w:val="20"/>
          <w:szCs w:val="20"/>
          <w:lang w:bidi="ar-SA"/>
        </w:rPr>
      </w:pPr>
      <w:r w:rsidRPr="00AD26EB">
        <w:rPr>
          <w:rFonts w:ascii="Work Sans" w:eastAsia="DengXian Light" w:hAnsi="Work Sans" w:cs="Arial"/>
          <w:sz w:val="20"/>
          <w:szCs w:val="20"/>
          <w:lang w:bidi="ar-SA"/>
        </w:rPr>
        <w:t xml:space="preserve">Que la </w:t>
      </w:r>
      <w:r>
        <w:rPr>
          <w:rFonts w:ascii="Work Sans" w:eastAsia="DengXian Light" w:hAnsi="Work Sans" w:cs="Arial"/>
          <w:sz w:val="20"/>
          <w:szCs w:val="20"/>
          <w:lang w:bidi="ar-SA"/>
        </w:rPr>
        <w:t>A</w:t>
      </w:r>
      <w:r w:rsidRPr="00AD26EB">
        <w:rPr>
          <w:rFonts w:ascii="Work Sans" w:eastAsia="DengXian Light" w:hAnsi="Work Sans" w:cs="Arial"/>
          <w:sz w:val="20"/>
          <w:szCs w:val="20"/>
          <w:lang w:bidi="ar-SA"/>
        </w:rPr>
        <w:t xml:space="preserve">gencia Nacional de Infraestructura, mediante acta de entrega del 20 de octubre de 2017, entregó al Instituto Nacional de Vías (INVÍAS), las obras, infraestructura vial y bienes afectados al contrato de concesión número 001 de 2010, suscrito entre el Instituto Nacional de Concesiones (INCO), hoy Agencia Nacional de Infraestructura y la Sociedad concesionaria Ruta del Sol S.A.S, para el desarrollo del proyecto de concesión </w:t>
      </w:r>
      <w:r w:rsidRPr="00AD26EB">
        <w:rPr>
          <w:rFonts w:ascii="Work Sans" w:eastAsia="DengXian Light" w:hAnsi="Work Sans" w:cs="Arial"/>
          <w:sz w:val="20"/>
          <w:szCs w:val="20"/>
          <w:lang w:bidi="ar-SA"/>
        </w:rPr>
        <w:lastRenderedPageBreak/>
        <w:t xml:space="preserve">denominado Ruta del Sol sector 2 troncal Puerto Salgar - San Roque y Transversal río de Oro - </w:t>
      </w:r>
      <w:proofErr w:type="spellStart"/>
      <w:r w:rsidRPr="00AD26EB">
        <w:rPr>
          <w:rFonts w:ascii="Work Sans" w:eastAsia="DengXian Light" w:hAnsi="Work Sans" w:cs="Arial"/>
          <w:sz w:val="20"/>
          <w:szCs w:val="20"/>
          <w:lang w:bidi="ar-SA"/>
        </w:rPr>
        <w:t>Aguaclara</w:t>
      </w:r>
      <w:proofErr w:type="spellEnd"/>
      <w:r w:rsidRPr="00AD26EB">
        <w:rPr>
          <w:rFonts w:ascii="Work Sans" w:eastAsia="DengXian Light" w:hAnsi="Work Sans" w:cs="Arial"/>
          <w:sz w:val="20"/>
          <w:szCs w:val="20"/>
          <w:lang w:bidi="ar-SA"/>
        </w:rPr>
        <w:t>- Gamarra.</w:t>
      </w:r>
    </w:p>
    <w:p w14:paraId="59B7EE63" w14:textId="77777777" w:rsidR="00AD26EB" w:rsidRDefault="00AD26EB" w:rsidP="00AD26EB">
      <w:pPr>
        <w:widowControl/>
        <w:jc w:val="both"/>
        <w:textAlignment w:val="auto"/>
        <w:rPr>
          <w:rFonts w:ascii="Work Sans" w:eastAsia="DengXian Light" w:hAnsi="Work Sans" w:cs="Arial"/>
          <w:sz w:val="20"/>
          <w:szCs w:val="20"/>
          <w:lang w:bidi="ar-SA"/>
        </w:rPr>
      </w:pPr>
    </w:p>
    <w:p w14:paraId="00412848" w14:textId="77777777" w:rsidR="00313F48" w:rsidRDefault="00313F48" w:rsidP="00313F48">
      <w:pPr>
        <w:widowControl/>
        <w:jc w:val="both"/>
        <w:textAlignment w:val="auto"/>
        <w:rPr>
          <w:rFonts w:ascii="Work Sans" w:eastAsia="DengXian Light" w:hAnsi="Work Sans" w:cs="Arial"/>
          <w:sz w:val="20"/>
          <w:szCs w:val="20"/>
          <w:lang w:bidi="ar-SA"/>
        </w:rPr>
      </w:pPr>
      <w:r>
        <w:rPr>
          <w:rFonts w:ascii="Work Sans" w:eastAsia="DengXian Light" w:hAnsi="Work Sans" w:cs="Arial"/>
          <w:sz w:val="20"/>
          <w:szCs w:val="20"/>
          <w:lang w:bidi="ar-SA"/>
        </w:rPr>
        <w:t>Que, m</w:t>
      </w:r>
      <w:r w:rsidRPr="00313F48">
        <w:rPr>
          <w:rFonts w:ascii="Work Sans" w:eastAsia="DengXian Light" w:hAnsi="Work Sans" w:cs="Arial"/>
          <w:sz w:val="20"/>
          <w:szCs w:val="20"/>
          <w:lang w:bidi="ar-SA"/>
        </w:rPr>
        <w:t>ediante oficio GE22-0450, radicado en el Ministerio de Transporte mediante el</w:t>
      </w:r>
      <w:r>
        <w:rPr>
          <w:rFonts w:ascii="Work Sans" w:eastAsia="DengXian Light" w:hAnsi="Work Sans" w:cs="Arial"/>
          <w:sz w:val="20"/>
          <w:szCs w:val="20"/>
          <w:lang w:bidi="ar-SA"/>
        </w:rPr>
        <w:t xml:space="preserve"> </w:t>
      </w:r>
      <w:r w:rsidRPr="00313F48">
        <w:rPr>
          <w:rFonts w:ascii="Work Sans" w:eastAsia="DengXian Light" w:hAnsi="Work Sans" w:cs="Arial"/>
          <w:sz w:val="20"/>
          <w:szCs w:val="20"/>
          <w:lang w:bidi="ar-SA"/>
        </w:rPr>
        <w:t>radicado MT No. 20223031276162 del 5 de julio de 2022, la agremiación</w:t>
      </w:r>
      <w:r>
        <w:rPr>
          <w:rFonts w:ascii="Work Sans" w:eastAsia="DengXian Light" w:hAnsi="Work Sans" w:cs="Arial"/>
          <w:sz w:val="20"/>
          <w:szCs w:val="20"/>
          <w:lang w:bidi="ar-SA"/>
        </w:rPr>
        <w:t xml:space="preserve"> </w:t>
      </w:r>
      <w:r w:rsidRPr="00313F48">
        <w:rPr>
          <w:rFonts w:ascii="Work Sans" w:eastAsia="DengXian Light" w:hAnsi="Work Sans" w:cs="Arial"/>
          <w:sz w:val="20"/>
          <w:szCs w:val="20"/>
          <w:lang w:bidi="ar-SA"/>
        </w:rPr>
        <w:t>ASOCARBONOR solicit</w:t>
      </w:r>
      <w:r>
        <w:rPr>
          <w:rFonts w:ascii="Work Sans" w:eastAsia="DengXian Light" w:hAnsi="Work Sans" w:cs="Arial"/>
          <w:sz w:val="20"/>
          <w:szCs w:val="20"/>
          <w:lang w:bidi="ar-SA"/>
        </w:rPr>
        <w:t>ó</w:t>
      </w:r>
      <w:r w:rsidRPr="00313F48">
        <w:rPr>
          <w:rFonts w:ascii="Work Sans" w:eastAsia="DengXian Light" w:hAnsi="Work Sans" w:cs="Arial"/>
          <w:sz w:val="20"/>
          <w:szCs w:val="20"/>
          <w:lang w:bidi="ar-SA"/>
        </w:rPr>
        <w:t xml:space="preserve"> a esta Cartera Ministerial lo siguiente:</w:t>
      </w:r>
    </w:p>
    <w:p w14:paraId="5EB2FD3D" w14:textId="77777777" w:rsidR="00313F48" w:rsidRDefault="00313F48" w:rsidP="00313F48">
      <w:pPr>
        <w:widowControl/>
        <w:jc w:val="both"/>
        <w:textAlignment w:val="auto"/>
        <w:rPr>
          <w:rFonts w:ascii="Work Sans" w:eastAsia="DengXian Light" w:hAnsi="Work Sans" w:cs="Arial"/>
          <w:sz w:val="20"/>
          <w:szCs w:val="20"/>
          <w:lang w:bidi="ar-SA"/>
        </w:rPr>
      </w:pPr>
    </w:p>
    <w:p w14:paraId="13A9F803" w14:textId="77777777" w:rsidR="00313F48" w:rsidRPr="00313F48" w:rsidRDefault="00313F48" w:rsidP="00313F48">
      <w:pPr>
        <w:widowControl/>
        <w:ind w:left="567" w:right="680"/>
        <w:jc w:val="both"/>
        <w:textAlignment w:val="auto"/>
        <w:rPr>
          <w:rFonts w:ascii="Work Sans" w:eastAsia="DengXian Light" w:hAnsi="Work Sans" w:cs="Arial"/>
          <w:i/>
          <w:sz w:val="20"/>
          <w:szCs w:val="20"/>
          <w:lang w:val="es" w:bidi="ar-SA"/>
        </w:rPr>
      </w:pPr>
      <w:r w:rsidRPr="00313F48">
        <w:rPr>
          <w:rFonts w:ascii="Work Sans" w:eastAsia="DengXian Light" w:hAnsi="Work Sans" w:cs="Arial"/>
          <w:i/>
          <w:sz w:val="20"/>
          <w:szCs w:val="20"/>
          <w:lang w:val="es" w:bidi="ar-SA"/>
        </w:rPr>
        <w:t xml:space="preserve">“(…) Agradecemos el apoyo que desde el Ministerio de Transporte y en general desde el Gobierno Nacional, hemos recibido con el Gremio del Carbón en Norte de Santander, especialmente desde el cierre fronterizo con la República Bolivariana de Venezuela, a fin de viabilizar la operación de exportación de Carbón Térmico de Norte de Santander por los puertos Colombianos como </w:t>
      </w:r>
      <w:proofErr w:type="spellStart"/>
      <w:r w:rsidRPr="00313F48">
        <w:rPr>
          <w:rFonts w:ascii="Work Sans" w:eastAsia="DengXian Light" w:hAnsi="Work Sans" w:cs="Arial"/>
          <w:i/>
          <w:sz w:val="20"/>
          <w:szCs w:val="20"/>
          <w:lang w:val="es" w:bidi="ar-SA"/>
        </w:rPr>
        <w:t>Capulco</w:t>
      </w:r>
      <w:proofErr w:type="spellEnd"/>
      <w:r w:rsidRPr="00313F48">
        <w:rPr>
          <w:rFonts w:ascii="Work Sans" w:eastAsia="DengXian Light" w:hAnsi="Work Sans" w:cs="Arial"/>
          <w:i/>
          <w:sz w:val="20"/>
          <w:szCs w:val="20"/>
          <w:lang w:val="es" w:bidi="ar-SA"/>
        </w:rPr>
        <w:t xml:space="preserve"> (fluvial), Santa Marta, Barranquilla y Dibulla (Marítimo), promoviendo cada vez más el fortalecimiento de la operación minera exportadora por territorio colombiano. </w:t>
      </w:r>
    </w:p>
    <w:p w14:paraId="7A9C4DB3" w14:textId="77777777" w:rsidR="00313F48" w:rsidRPr="00313F48" w:rsidRDefault="00313F48" w:rsidP="00313F48">
      <w:pPr>
        <w:widowControl/>
        <w:ind w:left="567" w:right="680"/>
        <w:jc w:val="both"/>
        <w:textAlignment w:val="auto"/>
        <w:rPr>
          <w:rFonts w:ascii="Work Sans" w:eastAsia="DengXian Light" w:hAnsi="Work Sans" w:cs="Arial"/>
          <w:i/>
          <w:sz w:val="20"/>
          <w:szCs w:val="20"/>
          <w:lang w:val="es" w:bidi="ar-SA"/>
        </w:rPr>
      </w:pPr>
    </w:p>
    <w:p w14:paraId="595DB839" w14:textId="77777777" w:rsidR="00313F48" w:rsidRPr="00313F48" w:rsidRDefault="00313F48" w:rsidP="00313F48">
      <w:pPr>
        <w:widowControl/>
        <w:ind w:left="567" w:right="680"/>
        <w:jc w:val="both"/>
        <w:textAlignment w:val="auto"/>
        <w:rPr>
          <w:rFonts w:ascii="Work Sans" w:eastAsia="DengXian Light" w:hAnsi="Work Sans" w:cs="Arial"/>
          <w:i/>
          <w:sz w:val="20"/>
          <w:szCs w:val="20"/>
          <w:lang w:val="es" w:bidi="ar-SA"/>
        </w:rPr>
      </w:pPr>
      <w:r w:rsidRPr="00313F48">
        <w:rPr>
          <w:rFonts w:ascii="Work Sans" w:eastAsia="DengXian Light" w:hAnsi="Work Sans" w:cs="Arial"/>
          <w:i/>
          <w:sz w:val="20"/>
          <w:szCs w:val="20"/>
          <w:lang w:val="es" w:bidi="ar-SA"/>
        </w:rPr>
        <w:t xml:space="preserve">Acudimos una vez más a su gestión de la manera más respetuosa, ya que vemos que el nuevo gobierno está anunciado una posible apertura de la frontera con Venezuela, lo que nos genera incertidumbre de la continuidad del conjunto de resoluciones expedidas por el Ministerio de Transporte referenciadas en el asunto desde el año 2015 por el cierre fronterizo y con el fin de que éstas resoluciones se continúen manteniendo en atención a que las afectaciones al intercambio comercial del carbón entre la República de Colombia y la República Bolivariana de Venezuela aún se mantienen y para que el sector carbonero tenga operaciones logísticas con el vecino país, se va a requerir de tiempo porque las condiciones no están dadas y no sería competitivo para nuestro sector que el beneficio de reducción del 50% en peajes hacia la costa atlántica desaparezcan. </w:t>
      </w:r>
    </w:p>
    <w:p w14:paraId="7B7147A2" w14:textId="77777777" w:rsidR="00313F48" w:rsidRPr="00313F48" w:rsidRDefault="00313F48" w:rsidP="00313F48">
      <w:pPr>
        <w:widowControl/>
        <w:ind w:left="567" w:right="680"/>
        <w:jc w:val="both"/>
        <w:textAlignment w:val="auto"/>
        <w:rPr>
          <w:rFonts w:ascii="Work Sans" w:eastAsia="DengXian Light" w:hAnsi="Work Sans" w:cs="Arial"/>
          <w:i/>
          <w:sz w:val="20"/>
          <w:szCs w:val="20"/>
          <w:lang w:val="es" w:bidi="ar-SA"/>
        </w:rPr>
      </w:pPr>
    </w:p>
    <w:p w14:paraId="43D60564" w14:textId="77777777" w:rsidR="00313F48" w:rsidRPr="00313F48" w:rsidRDefault="00313F48" w:rsidP="00313F48">
      <w:pPr>
        <w:widowControl/>
        <w:ind w:left="567" w:right="680"/>
        <w:jc w:val="both"/>
        <w:textAlignment w:val="auto"/>
        <w:rPr>
          <w:rFonts w:ascii="Work Sans" w:eastAsia="DengXian Light" w:hAnsi="Work Sans" w:cs="Arial"/>
          <w:i/>
          <w:sz w:val="20"/>
          <w:szCs w:val="20"/>
          <w:lang w:val="es" w:bidi="ar-SA"/>
        </w:rPr>
      </w:pPr>
      <w:r w:rsidRPr="00313F48">
        <w:rPr>
          <w:rFonts w:ascii="Work Sans" w:eastAsia="DengXian Light" w:hAnsi="Work Sans" w:cs="Arial"/>
          <w:i/>
          <w:sz w:val="20"/>
          <w:szCs w:val="20"/>
          <w:lang w:val="es" w:bidi="ar-SA"/>
        </w:rPr>
        <w:t>Por lo anterior agradecemos altamente que este Ministerio pueda realizar las gestiones oportunas, con los mecanismos necesarios para:</w:t>
      </w:r>
    </w:p>
    <w:p w14:paraId="0499AAC5" w14:textId="77777777" w:rsidR="00313F48" w:rsidRPr="00313F48" w:rsidRDefault="00313F48" w:rsidP="00313F48">
      <w:pPr>
        <w:widowControl/>
        <w:ind w:left="567" w:right="680"/>
        <w:jc w:val="both"/>
        <w:textAlignment w:val="auto"/>
        <w:rPr>
          <w:rFonts w:ascii="Work Sans" w:eastAsia="DengXian Light" w:hAnsi="Work Sans" w:cs="Arial"/>
          <w:i/>
          <w:sz w:val="20"/>
          <w:szCs w:val="20"/>
          <w:lang w:val="es" w:bidi="ar-SA"/>
        </w:rPr>
      </w:pPr>
    </w:p>
    <w:p w14:paraId="1638E817" w14:textId="77777777" w:rsidR="00313F48" w:rsidRPr="00313F48" w:rsidRDefault="00313F48" w:rsidP="00313F48">
      <w:pPr>
        <w:widowControl/>
        <w:ind w:left="567" w:right="680"/>
        <w:jc w:val="both"/>
        <w:textAlignment w:val="auto"/>
        <w:rPr>
          <w:rFonts w:ascii="Work Sans" w:eastAsia="DengXian Light" w:hAnsi="Work Sans" w:cs="Arial"/>
          <w:i/>
          <w:sz w:val="20"/>
          <w:szCs w:val="20"/>
          <w:lang w:val="es" w:bidi="ar-SA"/>
        </w:rPr>
      </w:pPr>
      <w:r w:rsidRPr="00313F48">
        <w:rPr>
          <w:rFonts w:ascii="Work Sans" w:eastAsia="DengXian Light" w:hAnsi="Work Sans" w:cs="Arial"/>
          <w:i/>
          <w:sz w:val="20"/>
          <w:szCs w:val="20"/>
          <w:lang w:val="es" w:bidi="ar-SA"/>
        </w:rPr>
        <w:t xml:space="preserve">1. Mantener el beneficio en la reducción del 50% del valor de los peajes para el carbón térmico con origen Norte de Santander destino exportación por puertos de la costa atlántica. </w:t>
      </w:r>
    </w:p>
    <w:p w14:paraId="202C6764" w14:textId="77777777" w:rsidR="00313F48" w:rsidRPr="00313F48" w:rsidRDefault="00313F48" w:rsidP="00313F48">
      <w:pPr>
        <w:widowControl/>
        <w:ind w:left="567" w:right="680"/>
        <w:jc w:val="both"/>
        <w:textAlignment w:val="auto"/>
        <w:rPr>
          <w:rFonts w:ascii="Work Sans" w:eastAsia="DengXian Light" w:hAnsi="Work Sans" w:cs="Arial"/>
          <w:i/>
          <w:sz w:val="20"/>
          <w:szCs w:val="20"/>
          <w:lang w:val="es" w:bidi="ar-SA"/>
        </w:rPr>
      </w:pPr>
    </w:p>
    <w:p w14:paraId="6287212C" w14:textId="77777777" w:rsidR="00313F48" w:rsidRPr="00313F48" w:rsidRDefault="00313F48" w:rsidP="00313F48">
      <w:pPr>
        <w:widowControl/>
        <w:ind w:left="567" w:right="680"/>
        <w:jc w:val="both"/>
        <w:textAlignment w:val="auto"/>
        <w:rPr>
          <w:rFonts w:ascii="Work Sans" w:eastAsia="DengXian Light" w:hAnsi="Work Sans" w:cs="Arial"/>
          <w:i/>
          <w:sz w:val="20"/>
          <w:szCs w:val="20"/>
          <w:lang w:val="es" w:bidi="ar-SA"/>
        </w:rPr>
      </w:pPr>
      <w:r w:rsidRPr="00313F48">
        <w:rPr>
          <w:rFonts w:ascii="Work Sans" w:eastAsia="DengXian Light" w:hAnsi="Work Sans" w:cs="Arial"/>
          <w:i/>
          <w:sz w:val="20"/>
          <w:szCs w:val="20"/>
          <w:lang w:val="es" w:bidi="ar-SA"/>
        </w:rPr>
        <w:t xml:space="preserve">2. Mantener el beneficio de exención del 50% de la tarifa derecho de tránsito por el corredor férreo en el tramo Chiriguana – Santa Marta. </w:t>
      </w:r>
    </w:p>
    <w:p w14:paraId="75107783" w14:textId="77777777" w:rsidR="00313F48" w:rsidRPr="00313F48" w:rsidRDefault="00313F48" w:rsidP="00313F48">
      <w:pPr>
        <w:widowControl/>
        <w:ind w:left="567" w:right="680"/>
        <w:jc w:val="both"/>
        <w:textAlignment w:val="auto"/>
        <w:rPr>
          <w:rFonts w:ascii="Work Sans" w:eastAsia="DengXian Light" w:hAnsi="Work Sans" w:cs="Arial"/>
          <w:i/>
          <w:sz w:val="20"/>
          <w:szCs w:val="20"/>
          <w:lang w:val="es" w:bidi="ar-SA"/>
        </w:rPr>
      </w:pPr>
    </w:p>
    <w:p w14:paraId="13C5D753" w14:textId="77777777" w:rsidR="00313F48" w:rsidRPr="00313F48" w:rsidRDefault="00313F48" w:rsidP="00313F48">
      <w:pPr>
        <w:widowControl/>
        <w:ind w:left="567" w:right="680"/>
        <w:jc w:val="both"/>
        <w:textAlignment w:val="auto"/>
        <w:rPr>
          <w:rFonts w:ascii="Work Sans" w:eastAsia="DengXian Light" w:hAnsi="Work Sans" w:cs="Arial"/>
          <w:i/>
          <w:sz w:val="20"/>
          <w:szCs w:val="20"/>
          <w:lang w:val="es" w:bidi="ar-SA"/>
        </w:rPr>
      </w:pPr>
      <w:r w:rsidRPr="00313F48">
        <w:rPr>
          <w:rFonts w:ascii="Work Sans" w:eastAsia="DengXian Light" w:hAnsi="Work Sans" w:cs="Arial"/>
          <w:i/>
          <w:sz w:val="20"/>
          <w:szCs w:val="20"/>
          <w:lang w:val="es" w:bidi="ar-SA"/>
        </w:rPr>
        <w:t>Es válido mencionar, que la reactivación de la logística (vial, ambiental y portuario), de nuestras cargas por territorio venezolano, no solamente dependen de la apertura de la frontera, sino también de la garantía de la seguridad jurídica por parte del gobierno venezolano. Bajo las condiciones actuales, los Empresarios Mineros Exportadores estarían arriesgando la seguridad e integridad del carbón y podrían incurrir incluso en incumplimientos de contratos internacionales que acarrean millonarias sumas por concepto de sanciones, razón por la cual a la fecha aún continua siendo inviable volver a utilizar el corredor venezolano como ruta en la exportación del carbón de esta región del país; por estas condiciones solicitamos se analice y consideren desde el Gobierno Nacional la necesidad de la continuidad del conjunto de resoluciones como plan de alivio a la operación minera del Departamento Norte de Santander para la generación de competitividad en el país.</w:t>
      </w:r>
    </w:p>
    <w:p w14:paraId="27E25303" w14:textId="77777777" w:rsidR="001B133B" w:rsidRDefault="001B133B" w:rsidP="001B133B">
      <w:pPr>
        <w:widowControl/>
        <w:jc w:val="both"/>
        <w:textAlignment w:val="auto"/>
        <w:rPr>
          <w:rFonts w:ascii="Work Sans" w:eastAsia="DengXian Light" w:hAnsi="Work Sans" w:cs="Arial"/>
          <w:sz w:val="20"/>
          <w:szCs w:val="20"/>
          <w:lang w:bidi="ar-SA"/>
        </w:rPr>
      </w:pPr>
    </w:p>
    <w:p w14:paraId="309754FC" w14:textId="77777777" w:rsidR="00732CFB" w:rsidRPr="00AC53B7" w:rsidRDefault="00732CFB" w:rsidP="00732CFB">
      <w:pPr>
        <w:autoSpaceDE w:val="0"/>
        <w:jc w:val="both"/>
        <w:textAlignment w:val="auto"/>
        <w:rPr>
          <w:rFonts w:ascii="Work Sans" w:hAnsi="Work Sans"/>
          <w:iCs/>
          <w:sz w:val="20"/>
          <w:lang w:val="es-CO"/>
        </w:rPr>
      </w:pPr>
      <w:bookmarkStart w:id="3" w:name="_Hlk129610630"/>
      <w:r w:rsidRPr="00AC53B7">
        <w:rPr>
          <w:rFonts w:ascii="Work Sans" w:hAnsi="Work Sans"/>
          <w:iCs/>
          <w:sz w:val="20"/>
          <w:lang w:val="es-CO"/>
        </w:rPr>
        <w:t xml:space="preserve">Que, el 3 de febrero de 2023, se suscribió en caracas el “Acuerdo entre la República Bolivariana de Venezuela y la República de Colombia relativo a la promoción y protección recíproca de inversiones” con el objetivo de </w:t>
      </w:r>
      <w:r>
        <w:rPr>
          <w:rFonts w:ascii="Work Sans" w:hAnsi="Work Sans"/>
          <w:iCs/>
          <w:sz w:val="20"/>
          <w:lang w:val="es-CO"/>
        </w:rPr>
        <w:t>facilitar y promover las inversiones directas transfronterizas realizadas por inversionistas de ambas partes, el cual se encuentra en trámite de aprobación ante el Congreso de la República bajo el Proyecto de Ley No. 275 de 2023.</w:t>
      </w:r>
    </w:p>
    <w:p w14:paraId="38A4188C" w14:textId="77777777" w:rsidR="00732CFB" w:rsidRDefault="00732CFB" w:rsidP="00313F48">
      <w:pPr>
        <w:autoSpaceDE w:val="0"/>
        <w:jc w:val="both"/>
        <w:textAlignment w:val="auto"/>
        <w:rPr>
          <w:rFonts w:ascii="Work Sans" w:hAnsi="Work Sans"/>
          <w:iCs/>
          <w:sz w:val="20"/>
          <w:lang w:val="es-CO"/>
        </w:rPr>
      </w:pPr>
    </w:p>
    <w:p w14:paraId="0A4E73E7" w14:textId="77777777" w:rsidR="00313F48" w:rsidRDefault="00313F48" w:rsidP="00313F48">
      <w:pPr>
        <w:autoSpaceDE w:val="0"/>
        <w:jc w:val="both"/>
        <w:textAlignment w:val="auto"/>
        <w:rPr>
          <w:rFonts w:ascii="Work Sans" w:hAnsi="Work Sans"/>
          <w:iCs/>
          <w:sz w:val="20"/>
          <w:lang w:val="es-CO"/>
        </w:rPr>
      </w:pPr>
      <w:r>
        <w:rPr>
          <w:rFonts w:ascii="Work Sans" w:hAnsi="Work Sans"/>
          <w:iCs/>
          <w:sz w:val="20"/>
          <w:lang w:val="es-CO"/>
        </w:rPr>
        <w:t>Que, m</w:t>
      </w:r>
      <w:r w:rsidRPr="00313F48">
        <w:rPr>
          <w:rFonts w:ascii="Work Sans" w:hAnsi="Work Sans"/>
          <w:iCs/>
          <w:sz w:val="20"/>
          <w:lang w:val="es-CO"/>
        </w:rPr>
        <w:t xml:space="preserve">ediante </w:t>
      </w:r>
      <w:bookmarkStart w:id="4" w:name="_Hlk129600178"/>
      <w:r w:rsidRPr="00313F48">
        <w:rPr>
          <w:rFonts w:ascii="Work Sans" w:hAnsi="Work Sans"/>
          <w:iCs/>
          <w:sz w:val="20"/>
          <w:lang w:val="es-CO"/>
        </w:rPr>
        <w:t xml:space="preserve">oficio 1-2023-007441 del 08 de marzo de 2023, </w:t>
      </w:r>
      <w:r>
        <w:rPr>
          <w:rFonts w:ascii="Work Sans" w:hAnsi="Work Sans"/>
          <w:iCs/>
          <w:sz w:val="20"/>
          <w:lang w:val="es-CO"/>
        </w:rPr>
        <w:t>el</w:t>
      </w:r>
      <w:r w:rsidRPr="00313F48">
        <w:rPr>
          <w:rFonts w:ascii="Work Sans" w:hAnsi="Work Sans"/>
          <w:iCs/>
          <w:sz w:val="20"/>
          <w:lang w:val="es-CO"/>
        </w:rPr>
        <w:t xml:space="preserve"> Director de Integración </w:t>
      </w:r>
      <w:r w:rsidRPr="00313F48">
        <w:rPr>
          <w:rFonts w:ascii="Work Sans" w:hAnsi="Work Sans"/>
          <w:iCs/>
          <w:sz w:val="20"/>
          <w:lang w:val="es-CO"/>
        </w:rPr>
        <w:lastRenderedPageBreak/>
        <w:t>Económica del Ministerio de Comercio Industria y Turismo,</w:t>
      </w:r>
      <w:bookmarkEnd w:id="3"/>
      <w:bookmarkEnd w:id="4"/>
      <w:r w:rsidRPr="00313F48">
        <w:rPr>
          <w:rFonts w:ascii="Work Sans" w:hAnsi="Work Sans"/>
          <w:iCs/>
          <w:sz w:val="20"/>
          <w:lang w:val="es-CO"/>
        </w:rPr>
        <w:t xml:space="preserve"> inform</w:t>
      </w:r>
      <w:r>
        <w:rPr>
          <w:rFonts w:ascii="Work Sans" w:hAnsi="Work Sans"/>
          <w:iCs/>
          <w:sz w:val="20"/>
          <w:lang w:val="es-CO"/>
        </w:rPr>
        <w:t>ó al Ministerio de Transporte</w:t>
      </w:r>
      <w:r w:rsidRPr="00313F48">
        <w:rPr>
          <w:rFonts w:ascii="Work Sans" w:hAnsi="Work Sans"/>
          <w:iCs/>
          <w:sz w:val="20"/>
          <w:lang w:val="es-CO"/>
        </w:rPr>
        <w:t xml:space="preserve"> lo siguiente: </w:t>
      </w:r>
    </w:p>
    <w:p w14:paraId="7EC10B81" w14:textId="77777777" w:rsidR="00313F48" w:rsidRPr="00313F48" w:rsidRDefault="00313F48" w:rsidP="00313F48">
      <w:pPr>
        <w:autoSpaceDE w:val="0"/>
        <w:jc w:val="both"/>
        <w:textAlignment w:val="auto"/>
        <w:rPr>
          <w:rFonts w:ascii="Work Sans" w:hAnsi="Work Sans" w:cs="Mangal"/>
          <w:iCs/>
          <w:sz w:val="20"/>
          <w:lang w:val="es-CO"/>
        </w:rPr>
      </w:pPr>
    </w:p>
    <w:p w14:paraId="4EE3429B" w14:textId="77777777" w:rsidR="00313F48" w:rsidRPr="00313F48" w:rsidRDefault="00313F48" w:rsidP="00313F48">
      <w:pPr>
        <w:widowControl/>
        <w:ind w:left="567" w:right="680"/>
        <w:jc w:val="both"/>
        <w:textAlignment w:val="auto"/>
        <w:rPr>
          <w:rFonts w:ascii="Work Sans" w:eastAsia="DengXian Light" w:hAnsi="Work Sans" w:cs="Arial"/>
          <w:i/>
          <w:sz w:val="20"/>
          <w:szCs w:val="20"/>
          <w:lang w:val="es" w:bidi="ar-SA"/>
        </w:rPr>
      </w:pPr>
      <w:r w:rsidRPr="00313F48">
        <w:rPr>
          <w:rFonts w:ascii="Work Sans" w:eastAsia="DengXian Light" w:hAnsi="Work Sans" w:cs="Arial"/>
          <w:i/>
          <w:sz w:val="20"/>
          <w:szCs w:val="20"/>
          <w:lang w:val="es" w:bidi="ar-SA"/>
        </w:rPr>
        <w:t xml:space="preserve">(…) En el marco del restablecimiento de las relaciones bilaterales entre Colombia y Venezuela, la prioridad para ambos países en una primera instancia fue consolidar la reapertura de los pasos fronterizos que se encontraban cerrados. Es así que el pasado 26 de septiembre de 2022 se dio reapertura de los pasos fronterizos habilitados en Norte de Santander (Puente Simón Bolívar y Puente Francisco de Paula Santander), el 1 de enero de 2023 se dio apertura del Puente Atanasio Girardot también conocido como Puente Tienditas en Norte de Santander y la reapertura del Puente </w:t>
      </w:r>
      <w:proofErr w:type="spellStart"/>
      <w:r w:rsidRPr="00313F48">
        <w:rPr>
          <w:rFonts w:ascii="Work Sans" w:eastAsia="DengXian Light" w:hAnsi="Work Sans" w:cs="Arial"/>
          <w:i/>
          <w:sz w:val="20"/>
          <w:szCs w:val="20"/>
          <w:lang w:val="es" w:bidi="ar-SA"/>
        </w:rPr>
        <w:t>Jose</w:t>
      </w:r>
      <w:proofErr w:type="spellEnd"/>
      <w:r w:rsidRPr="00313F48">
        <w:rPr>
          <w:rFonts w:ascii="Work Sans" w:eastAsia="DengXian Light" w:hAnsi="Work Sans" w:cs="Arial"/>
          <w:i/>
          <w:sz w:val="20"/>
          <w:szCs w:val="20"/>
          <w:lang w:val="es" w:bidi="ar-SA"/>
        </w:rPr>
        <w:t xml:space="preserve"> Antonio Páez de Arauca, el 4 de enero de 2023; para el transporte de carga, pasajeros y vehículos particulares.</w:t>
      </w:r>
    </w:p>
    <w:p w14:paraId="7F7F2020" w14:textId="77777777" w:rsidR="00313F48" w:rsidRPr="00313F48" w:rsidRDefault="00313F48" w:rsidP="00313F48">
      <w:pPr>
        <w:widowControl/>
        <w:ind w:left="567" w:right="680"/>
        <w:jc w:val="both"/>
        <w:textAlignment w:val="auto"/>
        <w:rPr>
          <w:rFonts w:ascii="Work Sans" w:eastAsia="DengXian Light" w:hAnsi="Work Sans" w:cs="Arial"/>
          <w:i/>
          <w:sz w:val="20"/>
          <w:szCs w:val="20"/>
          <w:lang w:val="es" w:bidi="ar-SA"/>
        </w:rPr>
      </w:pPr>
    </w:p>
    <w:p w14:paraId="4B007A70" w14:textId="77777777" w:rsidR="00313F48" w:rsidRPr="00313F48" w:rsidRDefault="00313F48" w:rsidP="00313F48">
      <w:pPr>
        <w:widowControl/>
        <w:ind w:left="567" w:right="680"/>
        <w:jc w:val="both"/>
        <w:textAlignment w:val="auto"/>
        <w:rPr>
          <w:rFonts w:ascii="Work Sans" w:eastAsia="DengXian Light" w:hAnsi="Work Sans" w:cs="Arial"/>
          <w:i/>
          <w:sz w:val="20"/>
          <w:szCs w:val="20"/>
          <w:lang w:val="es" w:bidi="ar-SA"/>
        </w:rPr>
      </w:pPr>
      <w:r w:rsidRPr="00313F48">
        <w:rPr>
          <w:rFonts w:ascii="Work Sans" w:eastAsia="DengXian Light" w:hAnsi="Work Sans" w:cs="Arial"/>
          <w:i/>
          <w:sz w:val="20"/>
          <w:szCs w:val="20"/>
          <w:lang w:val="es" w:bidi="ar-SA"/>
        </w:rPr>
        <w:t>Es de señalar que, si bien los pasos fronterizos ya se encuentran reabiertos, la normalización total en el intercambio comercial bilateral es un proceso que se sigue consolidando, tanto para el producto de su consulta como de otros bienes tradicionalmente comercializados entre ambos países.</w:t>
      </w:r>
    </w:p>
    <w:p w14:paraId="6C65FC9E" w14:textId="77777777" w:rsidR="00313F48" w:rsidRPr="00313F48" w:rsidRDefault="00313F48" w:rsidP="00313F48">
      <w:pPr>
        <w:widowControl/>
        <w:ind w:left="567" w:right="680"/>
        <w:jc w:val="both"/>
        <w:textAlignment w:val="auto"/>
        <w:rPr>
          <w:rFonts w:ascii="Work Sans" w:eastAsia="DengXian Light" w:hAnsi="Work Sans" w:cs="Arial"/>
          <w:i/>
          <w:sz w:val="20"/>
          <w:szCs w:val="20"/>
          <w:lang w:val="es" w:bidi="ar-SA"/>
        </w:rPr>
      </w:pPr>
    </w:p>
    <w:p w14:paraId="1F9922C0" w14:textId="77777777" w:rsidR="00313F48" w:rsidRDefault="00313F48" w:rsidP="00313F48">
      <w:pPr>
        <w:widowControl/>
        <w:ind w:left="567" w:right="680"/>
        <w:jc w:val="both"/>
        <w:textAlignment w:val="auto"/>
        <w:rPr>
          <w:rFonts w:ascii="Work Sans" w:eastAsia="DengXian Light" w:hAnsi="Work Sans" w:cs="Arial"/>
          <w:i/>
          <w:sz w:val="20"/>
          <w:szCs w:val="20"/>
          <w:lang w:val="es" w:bidi="ar-SA"/>
        </w:rPr>
      </w:pPr>
      <w:r w:rsidRPr="00313F48">
        <w:rPr>
          <w:rFonts w:ascii="Work Sans" w:eastAsia="DengXian Light" w:hAnsi="Work Sans" w:cs="Arial"/>
          <w:i/>
          <w:sz w:val="20"/>
          <w:szCs w:val="20"/>
          <w:lang w:val="es" w:bidi="ar-SA"/>
        </w:rPr>
        <w:t>Lo anterior debido a que este proceso se encuentra en una etapa inicial donde se debe ir fortaleciendo la confianza entre los actores comerciales de ambos países, en atención a factores como el tiempo en el que los pasos fronterizos de Norte de Santander estuvieron cerrados y, por las particularidades que aún se presentan en el vecino país como el tema de pagos de las operaciones comerciales y que aún siguen vigentes las sanciones aplicadas por los Estados Unidos a personas naturales y jurídicas de Venezuela y que podrían extenderse al exportador colombiano. (…)</w:t>
      </w:r>
    </w:p>
    <w:p w14:paraId="50D6E236" w14:textId="77777777" w:rsidR="00AD26EB" w:rsidRDefault="00AD26EB" w:rsidP="00AD26EB">
      <w:pPr>
        <w:widowControl/>
        <w:ind w:right="680"/>
        <w:jc w:val="both"/>
        <w:textAlignment w:val="auto"/>
        <w:rPr>
          <w:rFonts w:ascii="Work Sans" w:eastAsia="DengXian Light" w:hAnsi="Work Sans" w:cs="Arial"/>
          <w:i/>
          <w:sz w:val="20"/>
          <w:szCs w:val="20"/>
          <w:lang w:val="es" w:bidi="ar-SA"/>
        </w:rPr>
      </w:pPr>
    </w:p>
    <w:p w14:paraId="5EB10FE0" w14:textId="77777777" w:rsidR="00AD26EB" w:rsidRDefault="00AD26EB" w:rsidP="00AD26EB">
      <w:pPr>
        <w:widowControl/>
        <w:jc w:val="both"/>
        <w:textAlignment w:val="auto"/>
        <w:rPr>
          <w:rFonts w:ascii="Work Sans" w:hAnsi="Work Sans"/>
          <w:kern w:val="0"/>
          <w:sz w:val="20"/>
          <w:szCs w:val="20"/>
        </w:rPr>
      </w:pPr>
      <w:r w:rsidRPr="00AD26EB">
        <w:rPr>
          <w:rFonts w:ascii="Work Sans" w:hAnsi="Work Sans"/>
          <w:kern w:val="0"/>
          <w:sz w:val="20"/>
          <w:szCs w:val="20"/>
        </w:rPr>
        <w:t>Que, Mediante oficio INVIAS No. DG 13223 del 09 de marzo de 2023, radicado en el Ministerio de Transporte con el No. 20233030412432 del 10 de marzo de 2023, el Director del Instituto Nacional de Vías</w:t>
      </w:r>
      <w:r>
        <w:rPr>
          <w:rFonts w:ascii="Work Sans" w:hAnsi="Work Sans"/>
          <w:kern w:val="0"/>
          <w:sz w:val="20"/>
          <w:szCs w:val="20"/>
        </w:rPr>
        <w:t xml:space="preserve"> - INVÍAS</w:t>
      </w:r>
      <w:r w:rsidRPr="00AD26EB">
        <w:rPr>
          <w:rFonts w:ascii="Work Sans" w:hAnsi="Work Sans"/>
          <w:kern w:val="0"/>
          <w:sz w:val="20"/>
          <w:szCs w:val="20"/>
        </w:rPr>
        <w:t>, emit</w:t>
      </w:r>
      <w:r>
        <w:rPr>
          <w:rFonts w:ascii="Work Sans" w:hAnsi="Work Sans"/>
          <w:kern w:val="0"/>
          <w:sz w:val="20"/>
          <w:szCs w:val="20"/>
        </w:rPr>
        <w:t>ió</w:t>
      </w:r>
      <w:r w:rsidRPr="00AD26EB">
        <w:rPr>
          <w:rFonts w:ascii="Work Sans" w:hAnsi="Work Sans"/>
          <w:kern w:val="0"/>
          <w:sz w:val="20"/>
          <w:szCs w:val="20"/>
        </w:rPr>
        <w:t xml:space="preserve"> alcance al Oficio DG 9583 del 23 de febrero de 2023 radicado en el Ministerio de Transporte con e</w:t>
      </w:r>
      <w:r>
        <w:rPr>
          <w:rFonts w:ascii="Work Sans" w:hAnsi="Work Sans"/>
          <w:kern w:val="0"/>
          <w:sz w:val="20"/>
          <w:szCs w:val="20"/>
        </w:rPr>
        <w:t xml:space="preserve">l </w:t>
      </w:r>
      <w:r w:rsidRPr="00AD26EB">
        <w:rPr>
          <w:rFonts w:ascii="Work Sans" w:hAnsi="Work Sans"/>
          <w:kern w:val="0"/>
          <w:sz w:val="20"/>
          <w:szCs w:val="20"/>
        </w:rPr>
        <w:t>No. 20233030337792 del 28 de febrero de 2023 en los siguientes términos:</w:t>
      </w:r>
    </w:p>
    <w:p w14:paraId="49BAF18C" w14:textId="77777777" w:rsidR="00AD26EB" w:rsidRDefault="00AD26EB" w:rsidP="00AD26EB">
      <w:pPr>
        <w:widowControl/>
        <w:jc w:val="both"/>
        <w:textAlignment w:val="auto"/>
        <w:rPr>
          <w:rFonts w:ascii="Work Sans" w:hAnsi="Work Sans"/>
          <w:kern w:val="0"/>
          <w:sz w:val="20"/>
          <w:szCs w:val="20"/>
        </w:rPr>
      </w:pPr>
    </w:p>
    <w:p w14:paraId="23D1544A" w14:textId="77777777" w:rsidR="00AD26EB" w:rsidRPr="00AD26EB" w:rsidRDefault="00AD26EB" w:rsidP="00AD26EB">
      <w:pPr>
        <w:widowControl/>
        <w:ind w:left="567" w:right="680"/>
        <w:jc w:val="both"/>
        <w:textAlignment w:val="auto"/>
        <w:rPr>
          <w:rFonts w:ascii="Work Sans" w:eastAsia="DengXian Light" w:hAnsi="Work Sans" w:cs="Arial"/>
          <w:i/>
          <w:sz w:val="20"/>
          <w:szCs w:val="20"/>
          <w:lang w:val="es" w:bidi="ar-SA"/>
        </w:rPr>
      </w:pPr>
      <w:r w:rsidRPr="00AD26EB">
        <w:rPr>
          <w:rFonts w:ascii="Work Sans" w:eastAsia="DengXian Light" w:hAnsi="Work Sans" w:cs="Arial"/>
          <w:i/>
          <w:sz w:val="20"/>
          <w:szCs w:val="20"/>
          <w:lang w:val="es" w:bidi="ar-SA"/>
        </w:rPr>
        <w:t>“(…) en atención a su solicitud realizada al INVIAS mediante correo electrónico de fecha 09 de marzo de 2023, y en razón a la gestión adelantada por el Ministerio de Transporte ante el Ministerio de Comercio, Industria y Turismo, mediante radicado MT 20231400194101 del 27 de febrero de 2023, a través del cual solicita información frente a la apertura de la frontera Colombo – Venezolana. (…)</w:t>
      </w:r>
    </w:p>
    <w:p w14:paraId="309B58DA" w14:textId="77777777" w:rsidR="00AD26EB" w:rsidRPr="00AD26EB" w:rsidRDefault="00AD26EB" w:rsidP="00AD26EB">
      <w:pPr>
        <w:widowControl/>
        <w:ind w:left="567" w:right="680"/>
        <w:jc w:val="both"/>
        <w:textAlignment w:val="auto"/>
        <w:rPr>
          <w:rFonts w:ascii="Work Sans" w:eastAsia="DengXian Light" w:hAnsi="Work Sans" w:cs="Arial"/>
          <w:i/>
          <w:sz w:val="20"/>
          <w:szCs w:val="20"/>
          <w:lang w:val="es" w:bidi="ar-SA"/>
        </w:rPr>
      </w:pPr>
    </w:p>
    <w:p w14:paraId="52AC5EFD" w14:textId="77777777" w:rsidR="00AD26EB" w:rsidRPr="00AD26EB" w:rsidRDefault="00AD26EB" w:rsidP="00AD26EB">
      <w:pPr>
        <w:widowControl/>
        <w:ind w:left="567" w:right="680"/>
        <w:jc w:val="both"/>
        <w:textAlignment w:val="auto"/>
        <w:rPr>
          <w:rFonts w:ascii="Work Sans" w:eastAsia="DengXian Light" w:hAnsi="Work Sans" w:cs="Arial"/>
          <w:i/>
          <w:sz w:val="20"/>
          <w:szCs w:val="20"/>
          <w:lang w:val="es" w:bidi="ar-SA"/>
        </w:rPr>
      </w:pPr>
      <w:r w:rsidRPr="00AD26EB">
        <w:rPr>
          <w:rFonts w:ascii="Work Sans" w:eastAsia="DengXian Light" w:hAnsi="Work Sans" w:cs="Arial"/>
          <w:i/>
          <w:sz w:val="20"/>
          <w:szCs w:val="20"/>
          <w:lang w:val="es" w:bidi="ar-SA"/>
        </w:rPr>
        <w:t xml:space="preserve">“En el marco del restablecimiento de las relaciones bilaterales entre Colombia y Venezuela, la prioridad para ambos países en una primera instancia fue consolidar la reapertura de los pasos fronterizos que se encontraban cerrados. Es así que el pasado 26 de septiembre de 2022 se dio reapertura de los pasos fronterizos habilitados en Norte de Santander (Puente Simón Bolívar y Puente Francisco de Paula Santander), el 1 de enero de 2023 se dio apertura del Puente Atanasio Girardot también conocido como Puente Tienditas en Norte de Santander y la reapertura del Puente </w:t>
      </w:r>
      <w:proofErr w:type="spellStart"/>
      <w:r w:rsidRPr="00AD26EB">
        <w:rPr>
          <w:rFonts w:ascii="Work Sans" w:eastAsia="DengXian Light" w:hAnsi="Work Sans" w:cs="Arial"/>
          <w:i/>
          <w:sz w:val="20"/>
          <w:szCs w:val="20"/>
          <w:lang w:val="es" w:bidi="ar-SA"/>
        </w:rPr>
        <w:t>Jose</w:t>
      </w:r>
      <w:proofErr w:type="spellEnd"/>
      <w:r w:rsidRPr="00AD26EB">
        <w:rPr>
          <w:rFonts w:ascii="Work Sans" w:eastAsia="DengXian Light" w:hAnsi="Work Sans" w:cs="Arial"/>
          <w:i/>
          <w:sz w:val="20"/>
          <w:szCs w:val="20"/>
          <w:lang w:val="es" w:bidi="ar-SA"/>
        </w:rPr>
        <w:t xml:space="preserve"> Antonio Páez de Arauca, el 4 de enero de 2023; para el transporte de carga, pasajeros y vehículos particulares. </w:t>
      </w:r>
    </w:p>
    <w:p w14:paraId="39C4E7CD" w14:textId="77777777" w:rsidR="00AD26EB" w:rsidRPr="00AD26EB" w:rsidRDefault="00AD26EB" w:rsidP="00AD26EB">
      <w:pPr>
        <w:widowControl/>
        <w:ind w:left="567" w:right="680"/>
        <w:jc w:val="both"/>
        <w:textAlignment w:val="auto"/>
        <w:rPr>
          <w:rFonts w:ascii="Work Sans" w:eastAsia="DengXian Light" w:hAnsi="Work Sans" w:cs="Arial"/>
          <w:i/>
          <w:sz w:val="20"/>
          <w:szCs w:val="20"/>
          <w:lang w:val="es" w:bidi="ar-SA"/>
        </w:rPr>
      </w:pPr>
    </w:p>
    <w:p w14:paraId="51FD7FC9" w14:textId="77777777" w:rsidR="00AD26EB" w:rsidRPr="00AD26EB" w:rsidRDefault="00AD26EB" w:rsidP="00AD26EB">
      <w:pPr>
        <w:widowControl/>
        <w:ind w:left="567" w:right="680"/>
        <w:jc w:val="both"/>
        <w:textAlignment w:val="auto"/>
        <w:rPr>
          <w:rFonts w:ascii="Work Sans" w:eastAsia="DengXian Light" w:hAnsi="Work Sans" w:cs="Arial"/>
          <w:i/>
          <w:sz w:val="20"/>
          <w:szCs w:val="20"/>
          <w:lang w:val="es" w:bidi="ar-SA"/>
        </w:rPr>
      </w:pPr>
      <w:r w:rsidRPr="00AD26EB">
        <w:rPr>
          <w:rFonts w:ascii="Work Sans" w:eastAsia="DengXian Light" w:hAnsi="Work Sans" w:cs="Arial"/>
          <w:i/>
          <w:sz w:val="20"/>
          <w:szCs w:val="20"/>
          <w:lang w:val="es" w:bidi="ar-SA"/>
        </w:rPr>
        <w:t xml:space="preserve">Es de señalar que, si bien los pasos fronterizos ya se encuentran reabiertos, la normalización total en el intercambio comercial bilateral es un proceso que se sigue consolidando, tanto para el producto de su consulta como de otros bienes tradicionalmente comercializados entre ambos países. </w:t>
      </w:r>
    </w:p>
    <w:p w14:paraId="051C1378" w14:textId="77777777" w:rsidR="00AD26EB" w:rsidRPr="00AD26EB" w:rsidRDefault="00AD26EB" w:rsidP="00AD26EB">
      <w:pPr>
        <w:widowControl/>
        <w:ind w:left="567" w:right="680"/>
        <w:jc w:val="both"/>
        <w:textAlignment w:val="auto"/>
        <w:rPr>
          <w:rFonts w:ascii="Work Sans" w:eastAsia="DengXian Light" w:hAnsi="Work Sans" w:cs="Arial"/>
          <w:i/>
          <w:sz w:val="20"/>
          <w:szCs w:val="20"/>
          <w:lang w:val="es" w:bidi="ar-SA"/>
        </w:rPr>
      </w:pPr>
    </w:p>
    <w:p w14:paraId="2123A715" w14:textId="77777777" w:rsidR="00AD26EB" w:rsidRPr="00AD26EB" w:rsidRDefault="00AD26EB" w:rsidP="00AD26EB">
      <w:pPr>
        <w:widowControl/>
        <w:ind w:left="567" w:right="680"/>
        <w:jc w:val="both"/>
        <w:textAlignment w:val="auto"/>
        <w:rPr>
          <w:rFonts w:ascii="Work Sans" w:eastAsia="DengXian Light" w:hAnsi="Work Sans" w:cs="Arial"/>
          <w:i/>
          <w:sz w:val="20"/>
          <w:szCs w:val="20"/>
          <w:lang w:val="es" w:bidi="ar-SA"/>
        </w:rPr>
      </w:pPr>
      <w:r w:rsidRPr="00AD26EB">
        <w:rPr>
          <w:rFonts w:ascii="Work Sans" w:eastAsia="DengXian Light" w:hAnsi="Work Sans" w:cs="Arial"/>
          <w:i/>
          <w:sz w:val="20"/>
          <w:szCs w:val="20"/>
          <w:lang w:val="es" w:bidi="ar-SA"/>
        </w:rPr>
        <w:t xml:space="preserve">Lo anterior debido a que este proceso se encuentra en una etapa inicial donde se debe ir fortaleciendo la confianza entre los actores comerciales de ambos países, en atención a factores como el tiempo en el que los pasos fronterizos de Norte de Santander estuvieron cerrados y, por las particularidades que aún se presentan en el vecino país como el tema de </w:t>
      </w:r>
      <w:r w:rsidRPr="00AD26EB">
        <w:rPr>
          <w:rFonts w:ascii="Work Sans" w:eastAsia="DengXian Light" w:hAnsi="Work Sans" w:cs="Arial"/>
          <w:i/>
          <w:sz w:val="20"/>
          <w:szCs w:val="20"/>
          <w:lang w:val="es" w:bidi="ar-SA"/>
        </w:rPr>
        <w:lastRenderedPageBreak/>
        <w:t xml:space="preserve">pagos de las operaciones comerciales y que aún siguen vigentes las sanciones aplicadas por los Estados Unidos a personas naturales y jurídicas de Venezuela y que podrían extenderse al exportador colombiano”. </w:t>
      </w:r>
    </w:p>
    <w:p w14:paraId="6FCD84DA" w14:textId="77777777" w:rsidR="00AD26EB" w:rsidRPr="00AD26EB" w:rsidRDefault="00AD26EB" w:rsidP="00AD26EB">
      <w:pPr>
        <w:widowControl/>
        <w:ind w:left="567" w:right="680"/>
        <w:jc w:val="both"/>
        <w:textAlignment w:val="auto"/>
        <w:rPr>
          <w:rFonts w:ascii="Work Sans" w:eastAsia="DengXian Light" w:hAnsi="Work Sans" w:cs="Arial"/>
          <w:i/>
          <w:sz w:val="20"/>
          <w:szCs w:val="20"/>
          <w:lang w:val="es" w:bidi="ar-SA"/>
        </w:rPr>
      </w:pPr>
    </w:p>
    <w:p w14:paraId="3A6E9030" w14:textId="77777777" w:rsidR="00AD26EB" w:rsidRPr="00AD26EB" w:rsidRDefault="00AD26EB" w:rsidP="00AD26EB">
      <w:pPr>
        <w:widowControl/>
        <w:ind w:left="567" w:right="680"/>
        <w:jc w:val="both"/>
        <w:textAlignment w:val="auto"/>
        <w:rPr>
          <w:rFonts w:ascii="Work Sans" w:eastAsia="DengXian Light" w:hAnsi="Work Sans" w:cs="Arial"/>
          <w:i/>
          <w:sz w:val="20"/>
          <w:szCs w:val="20"/>
          <w:lang w:val="es" w:bidi="ar-SA"/>
        </w:rPr>
      </w:pPr>
      <w:r w:rsidRPr="00AD26EB">
        <w:rPr>
          <w:rFonts w:ascii="Work Sans" w:eastAsia="DengXian Light" w:hAnsi="Work Sans" w:cs="Arial"/>
          <w:i/>
          <w:sz w:val="20"/>
          <w:szCs w:val="20"/>
          <w:lang w:val="es" w:bidi="ar-SA"/>
        </w:rPr>
        <w:t>Conforme a los argumentos expuestos por el Ministerio de Comercio, Industria y Turismo, y teniendo en cuenta que la normalización del intercambio comercial se encuentra en proceso, este Instituto considera procedente prorrogar por el término de (1) un año el beneficio de tarifa diferencial establecido en la Resolución No 20223040012705 de fecha 11 de marzo de 2022 “Por la cual se prorroga el término establecido en el artículo 4 de la Resolución 000886 de 2019 del Ministerio de Transporte “Por la cual se establece una tarifa diferencial en las estaciones de Peaje denominadas Platanal y Pailitas”, beneficio otorgado mediante Resolución No 3376 del 17 de septiembre de 2015.</w:t>
      </w:r>
    </w:p>
    <w:p w14:paraId="3E9E57FB" w14:textId="77777777" w:rsidR="00313F48" w:rsidRPr="001B133B" w:rsidRDefault="00313F48" w:rsidP="001B133B">
      <w:pPr>
        <w:widowControl/>
        <w:jc w:val="both"/>
        <w:textAlignment w:val="auto"/>
        <w:rPr>
          <w:rFonts w:ascii="Work Sans" w:eastAsia="DengXian Light" w:hAnsi="Work Sans" w:cs="Arial"/>
          <w:sz w:val="20"/>
          <w:szCs w:val="20"/>
          <w:lang w:bidi="ar-SA"/>
        </w:rPr>
      </w:pPr>
    </w:p>
    <w:p w14:paraId="5BA20A27" w14:textId="77777777" w:rsidR="004B7959" w:rsidRDefault="008353BB">
      <w:pPr>
        <w:widowControl/>
        <w:jc w:val="both"/>
        <w:textAlignment w:val="auto"/>
      </w:pPr>
      <w:r>
        <w:rPr>
          <w:rFonts w:ascii="Work Sans" w:eastAsia="DengXian Light" w:hAnsi="Work Sans" w:cs="Arial"/>
          <w:sz w:val="20"/>
          <w:szCs w:val="20"/>
          <w:lang w:bidi="ar-SA"/>
        </w:rPr>
        <w:t xml:space="preserve">Que la Agencia Nacional de Infraestructura mediante oficio con número de Radicado </w:t>
      </w:r>
      <w:r w:rsidR="00313F48">
        <w:rPr>
          <w:rFonts w:ascii="Work Sans" w:hAnsi="Work Sans"/>
          <w:kern w:val="0"/>
          <w:sz w:val="20"/>
          <w:szCs w:val="20"/>
        </w:rPr>
        <w:t xml:space="preserve">ANI No. 20235000084991 </w:t>
      </w:r>
      <w:r w:rsidRPr="00313F48">
        <w:rPr>
          <w:rFonts w:ascii="Work Sans" w:eastAsia="DengXian Light" w:hAnsi="Work Sans" w:cs="Arial"/>
          <w:sz w:val="20"/>
          <w:szCs w:val="20"/>
          <w:lang w:bidi="ar-SA"/>
        </w:rPr>
        <w:t>del 1</w:t>
      </w:r>
      <w:r w:rsidR="00313F48" w:rsidRPr="00313F48">
        <w:rPr>
          <w:rFonts w:ascii="Work Sans" w:eastAsia="DengXian Light" w:hAnsi="Work Sans" w:cs="Arial"/>
          <w:sz w:val="20"/>
          <w:szCs w:val="20"/>
          <w:lang w:bidi="ar-SA"/>
        </w:rPr>
        <w:t>3</w:t>
      </w:r>
      <w:r w:rsidRPr="00313F48">
        <w:rPr>
          <w:rFonts w:ascii="Work Sans" w:eastAsia="DengXian Light" w:hAnsi="Work Sans" w:cs="Arial"/>
          <w:sz w:val="20"/>
          <w:szCs w:val="20"/>
          <w:lang w:bidi="ar-SA"/>
        </w:rPr>
        <w:t xml:space="preserve"> de </w:t>
      </w:r>
      <w:r w:rsidR="00313F48" w:rsidRPr="00313F48">
        <w:rPr>
          <w:rFonts w:ascii="Work Sans" w:eastAsia="DengXian Light" w:hAnsi="Work Sans" w:cs="Arial"/>
          <w:sz w:val="20"/>
          <w:szCs w:val="20"/>
          <w:lang w:bidi="ar-SA"/>
        </w:rPr>
        <w:t>marzo</w:t>
      </w:r>
      <w:r w:rsidRPr="00313F48">
        <w:rPr>
          <w:rFonts w:ascii="Work Sans" w:eastAsia="DengXian Light" w:hAnsi="Work Sans" w:cs="Arial"/>
          <w:sz w:val="20"/>
          <w:szCs w:val="20"/>
          <w:lang w:bidi="ar-SA"/>
        </w:rPr>
        <w:t xml:space="preserve"> de 202</w:t>
      </w:r>
      <w:r w:rsidR="00313F48" w:rsidRPr="00313F48">
        <w:rPr>
          <w:rFonts w:ascii="Work Sans" w:eastAsia="DengXian Light" w:hAnsi="Work Sans" w:cs="Arial"/>
          <w:sz w:val="20"/>
          <w:szCs w:val="20"/>
          <w:lang w:bidi="ar-SA"/>
        </w:rPr>
        <w:t>3</w:t>
      </w:r>
      <w:r>
        <w:rPr>
          <w:rFonts w:ascii="Work Sans" w:eastAsia="DengXian Light" w:hAnsi="Work Sans" w:cs="Arial"/>
          <w:sz w:val="20"/>
          <w:szCs w:val="20"/>
          <w:lang w:bidi="ar-SA"/>
        </w:rPr>
        <w:t xml:space="preserve"> radicado en el Ministerio de Transporte MT No. </w:t>
      </w:r>
      <w:r w:rsidR="00313F48">
        <w:rPr>
          <w:rFonts w:ascii="Work Sans" w:hAnsi="Work Sans"/>
          <w:kern w:val="0"/>
          <w:sz w:val="20"/>
          <w:szCs w:val="20"/>
        </w:rPr>
        <w:t>20236030084661 del 13 de marzo de 2023</w:t>
      </w:r>
      <w:r>
        <w:rPr>
          <w:rFonts w:ascii="Work Sans" w:eastAsia="DengXian Light" w:hAnsi="Work Sans" w:cs="Arial"/>
          <w:sz w:val="20"/>
          <w:szCs w:val="20"/>
          <w:lang w:bidi="ar-SA"/>
        </w:rPr>
        <w:t xml:space="preserve">, </w:t>
      </w:r>
      <w:r w:rsidR="00313F48">
        <w:rPr>
          <w:rFonts w:ascii="Work Sans" w:eastAsia="DengXian Light" w:hAnsi="Work Sans" w:cs="Arial"/>
          <w:sz w:val="20"/>
          <w:szCs w:val="20"/>
          <w:lang w:bidi="ar-SA"/>
        </w:rPr>
        <w:t xml:space="preserve">indicó </w:t>
      </w:r>
      <w:r>
        <w:rPr>
          <w:rFonts w:ascii="Work Sans" w:eastAsia="DengXian Light" w:hAnsi="Work Sans" w:cs="Arial"/>
          <w:sz w:val="20"/>
          <w:szCs w:val="20"/>
          <w:lang w:bidi="ar-SA"/>
        </w:rPr>
        <w:t>que:</w:t>
      </w:r>
    </w:p>
    <w:p w14:paraId="726C6F6E" w14:textId="77777777" w:rsidR="004B7959" w:rsidRDefault="008353BB">
      <w:pPr>
        <w:widowControl/>
        <w:jc w:val="both"/>
        <w:textAlignment w:val="auto"/>
        <w:rPr>
          <w:rFonts w:ascii="Work Sans" w:eastAsia="DengXian Light" w:hAnsi="Work Sans" w:cs="Arial"/>
          <w:sz w:val="20"/>
          <w:szCs w:val="20"/>
          <w:lang w:bidi="ar-SA"/>
        </w:rPr>
      </w:pPr>
      <w:r>
        <w:rPr>
          <w:rFonts w:ascii="Work Sans" w:eastAsia="DengXian Light" w:hAnsi="Work Sans" w:cs="Arial"/>
          <w:sz w:val="20"/>
          <w:szCs w:val="20"/>
          <w:lang w:bidi="ar-SA"/>
        </w:rPr>
        <w:t> </w:t>
      </w:r>
    </w:p>
    <w:p w14:paraId="44FBB311" w14:textId="77777777" w:rsidR="00AB7791" w:rsidRPr="00313F48" w:rsidRDefault="00313F48" w:rsidP="00313F48">
      <w:pPr>
        <w:widowControl/>
        <w:ind w:left="567" w:right="680"/>
        <w:jc w:val="both"/>
        <w:textAlignment w:val="auto"/>
        <w:rPr>
          <w:rFonts w:ascii="Work Sans" w:eastAsia="DengXian Light" w:hAnsi="Work Sans" w:cs="Arial"/>
          <w:i/>
          <w:sz w:val="20"/>
          <w:szCs w:val="20"/>
          <w:lang w:val="es" w:bidi="ar-SA"/>
        </w:rPr>
      </w:pPr>
      <w:r w:rsidRPr="00313F48">
        <w:rPr>
          <w:rFonts w:ascii="Work Sans" w:eastAsia="DengXian Light" w:hAnsi="Work Sans" w:cs="Arial"/>
          <w:i/>
          <w:sz w:val="20"/>
          <w:szCs w:val="20"/>
          <w:lang w:val="es" w:bidi="ar-SA"/>
        </w:rPr>
        <w:t xml:space="preserve">(…) </w:t>
      </w:r>
      <w:r w:rsidR="00AB7791" w:rsidRPr="00AB7791">
        <w:rPr>
          <w:rFonts w:ascii="Work Sans" w:eastAsia="DengXian Light" w:hAnsi="Work Sans" w:cs="Arial"/>
          <w:i/>
          <w:sz w:val="20"/>
          <w:szCs w:val="20"/>
          <w:lang w:val="es" w:bidi="ar-SA"/>
        </w:rPr>
        <w:t xml:space="preserve">En virtud de lo anterior, se evidencia que a pesar de que se ha dado la orden de abrir la frontera, dicha apertura ha sido gradual y aún las condiciones están desarrollándose en aras de normalizar el proceso. Por esto, teniendo en cuenta las condiciones socioeconómicas de la frontera con Venezuela que además afectan directamente a los tráficos de los proyectos Ruta del Sol 3, Troncal del Magdalena II y Corredor Férreo Dorada- Chiriguaná, se recomienda continuar con la Resolución No. 20223040012665 de 2022 en lo relacionado con la exención del 50% por concepto de uso de vía para el tramo Chiriguaná – Santa Marta para otros tipos de carbón y la Resolución No. 3377 del 17 de septiembre de 2015 “por la cual se fijaron las tarifas diferenciales para los peajes: Platanal, Gamarra y Pailitas; y la Loma, El Copey y </w:t>
      </w:r>
      <w:proofErr w:type="spellStart"/>
      <w:r w:rsidR="00AB7791" w:rsidRPr="00AB7791">
        <w:rPr>
          <w:rFonts w:ascii="Work Sans" w:eastAsia="DengXian Light" w:hAnsi="Work Sans" w:cs="Arial"/>
          <w:i/>
          <w:sz w:val="20"/>
          <w:szCs w:val="20"/>
          <w:lang w:val="es" w:bidi="ar-SA"/>
        </w:rPr>
        <w:t>Tucurinca</w:t>
      </w:r>
      <w:proofErr w:type="spellEnd"/>
      <w:r w:rsidR="00AB7791" w:rsidRPr="00AB7791">
        <w:rPr>
          <w:rFonts w:ascii="Work Sans" w:eastAsia="DengXian Light" w:hAnsi="Work Sans" w:cs="Arial"/>
          <w:i/>
          <w:sz w:val="20"/>
          <w:szCs w:val="20"/>
          <w:lang w:val="es" w:bidi="ar-SA"/>
        </w:rPr>
        <w:t>, equivalente al 50% del valor de la tarifa para vehículos de transporte de carga que trasladen carbón térmico o carbón mineral térmico desde el departamento de Norte de Santander”, prorrogada mediante resolución No. 20223040012665 de 2022 con vigencia hasta el 13 de marzo del 2023</w:t>
      </w:r>
      <w:r w:rsidR="00AB7791">
        <w:rPr>
          <w:rFonts w:ascii="Work Sans" w:eastAsia="DengXian Light" w:hAnsi="Work Sans" w:cs="Arial"/>
          <w:i/>
          <w:sz w:val="20"/>
          <w:szCs w:val="20"/>
          <w:lang w:val="es" w:bidi="ar-SA"/>
        </w:rPr>
        <w:t>.</w:t>
      </w:r>
    </w:p>
    <w:p w14:paraId="0711606E" w14:textId="77777777" w:rsidR="00313F48" w:rsidRPr="00313F48" w:rsidRDefault="00313F48" w:rsidP="00313F48">
      <w:pPr>
        <w:widowControl/>
        <w:ind w:left="567" w:right="680"/>
        <w:jc w:val="both"/>
        <w:textAlignment w:val="auto"/>
        <w:rPr>
          <w:rFonts w:ascii="Work Sans" w:eastAsia="DengXian Light" w:hAnsi="Work Sans" w:cs="Arial"/>
          <w:i/>
          <w:sz w:val="20"/>
          <w:szCs w:val="20"/>
          <w:lang w:val="es" w:bidi="ar-SA"/>
        </w:rPr>
      </w:pPr>
    </w:p>
    <w:p w14:paraId="40AD19DA" w14:textId="77777777" w:rsidR="00313F48" w:rsidRDefault="00313F48" w:rsidP="00313F48">
      <w:pPr>
        <w:widowControl/>
        <w:ind w:left="567" w:right="680"/>
        <w:jc w:val="both"/>
        <w:textAlignment w:val="auto"/>
        <w:rPr>
          <w:rFonts w:ascii="Work Sans" w:eastAsia="DengXian Light" w:hAnsi="Work Sans" w:cs="Arial"/>
          <w:i/>
          <w:sz w:val="20"/>
          <w:szCs w:val="20"/>
          <w:lang w:val="es" w:bidi="ar-SA"/>
        </w:rPr>
      </w:pPr>
      <w:r w:rsidRPr="00313F48">
        <w:rPr>
          <w:rFonts w:ascii="Work Sans" w:eastAsia="DengXian Light" w:hAnsi="Work Sans" w:cs="Arial"/>
          <w:i/>
          <w:sz w:val="20"/>
          <w:szCs w:val="20"/>
          <w:lang w:val="es" w:bidi="ar-SA"/>
        </w:rPr>
        <w:t>En el mismo sentido, se sugiere considerar la posibilidad de establecer un seguimiento semestral, de manera tal, que pueda en forma periódica monitorearse y guardarse registro de la dinámica de la Frontera y su incidencia en el tema que nos une.(…)”</w:t>
      </w:r>
    </w:p>
    <w:p w14:paraId="4BC59B62" w14:textId="77777777" w:rsidR="00AD26EB" w:rsidRDefault="00AD26EB" w:rsidP="00313F48">
      <w:pPr>
        <w:widowControl/>
        <w:ind w:left="567" w:right="680"/>
        <w:jc w:val="both"/>
        <w:textAlignment w:val="auto"/>
        <w:rPr>
          <w:rFonts w:ascii="Work Sans" w:eastAsia="DengXian Light" w:hAnsi="Work Sans" w:cs="Arial"/>
          <w:i/>
          <w:sz w:val="20"/>
          <w:szCs w:val="20"/>
          <w:lang w:val="es" w:bidi="ar-SA"/>
        </w:rPr>
      </w:pPr>
    </w:p>
    <w:p w14:paraId="76E6DA9C" w14:textId="77777777" w:rsidR="00AD26EB" w:rsidRPr="00313F48" w:rsidRDefault="00AD26EB" w:rsidP="00313F48">
      <w:pPr>
        <w:widowControl/>
        <w:ind w:left="567" w:right="680"/>
        <w:jc w:val="both"/>
        <w:textAlignment w:val="auto"/>
        <w:rPr>
          <w:rFonts w:ascii="Work Sans" w:eastAsia="DengXian Light" w:hAnsi="Work Sans" w:cs="Arial"/>
          <w:i/>
          <w:sz w:val="20"/>
          <w:szCs w:val="20"/>
          <w:lang w:val="es" w:bidi="ar-SA"/>
        </w:rPr>
      </w:pPr>
      <w:r w:rsidRPr="00AD26EB">
        <w:rPr>
          <w:rFonts w:ascii="Work Sans" w:eastAsia="DengXian Light" w:hAnsi="Work Sans" w:cs="Arial"/>
          <w:i/>
          <w:sz w:val="20"/>
          <w:szCs w:val="20"/>
          <w:lang w:val="es" w:bidi="ar-SA"/>
        </w:rPr>
        <w:t>Teniendo en cuenta que, el 1 de diciembre de 2022 la Agencia Nacional de Infraestructura recibió el proyecto Troncal del Magdalena 2, con respecto al beneficio de tarifa diferencial especial para los vehículos de transporte de carga de carbón térmico o carbón mineral térmico, creado mediante la Resolución No. 0000886 del 11 de marzo de 2019 se manifiesta la no objeción para que el Ministerio de Transporte, en el ejercicio de sus competencias, emita el acto administrativo que amplíe la Resolución 20223040012705 de 2022, para el peaje Pailitas.</w:t>
      </w:r>
    </w:p>
    <w:p w14:paraId="115D94FA" w14:textId="77777777" w:rsidR="00313F48" w:rsidRPr="00313F48" w:rsidRDefault="00313F48" w:rsidP="00313F48">
      <w:pPr>
        <w:widowControl/>
        <w:ind w:left="567" w:right="680"/>
        <w:jc w:val="both"/>
        <w:textAlignment w:val="auto"/>
        <w:rPr>
          <w:rFonts w:ascii="Work Sans" w:eastAsia="DengXian Light" w:hAnsi="Work Sans" w:cs="Arial"/>
          <w:i/>
          <w:sz w:val="20"/>
          <w:szCs w:val="20"/>
          <w:lang w:val="es" w:bidi="ar-SA"/>
        </w:rPr>
      </w:pPr>
    </w:p>
    <w:p w14:paraId="4E28E980" w14:textId="77777777" w:rsidR="00AD26EB" w:rsidRPr="00AD26EB" w:rsidRDefault="00313F48" w:rsidP="00AD26EB">
      <w:pPr>
        <w:widowControl/>
        <w:ind w:left="567" w:right="680"/>
        <w:jc w:val="both"/>
        <w:textAlignment w:val="auto"/>
        <w:rPr>
          <w:rFonts w:ascii="Work Sans" w:eastAsia="DengXian Light" w:hAnsi="Work Sans" w:cs="Arial"/>
          <w:i/>
          <w:sz w:val="20"/>
          <w:szCs w:val="20"/>
          <w:lang w:val="es" w:bidi="ar-SA"/>
        </w:rPr>
      </w:pPr>
      <w:r w:rsidRPr="00313F48">
        <w:rPr>
          <w:rFonts w:ascii="Work Sans" w:eastAsia="DengXian Light" w:hAnsi="Work Sans" w:cs="Arial"/>
          <w:i/>
          <w:sz w:val="20"/>
          <w:szCs w:val="20"/>
          <w:lang w:val="es" w:bidi="ar-SA"/>
        </w:rPr>
        <w:t>En términos generales, la no objeción para esta tarifa especial otorgadas mediante las resoluciones 20223040012665 de 2022; 20223040012705 de 2022 y 20223040012665 de 2022, debe ser por un término de seis (6) meses, con el fin de tener el espacio suficiente para realizar la verificación pertinente de las condiciones de la frontera con Venezuela (resaltado y subrayado fuera de texto).</w:t>
      </w:r>
    </w:p>
    <w:p w14:paraId="1292B390" w14:textId="77777777" w:rsidR="004B7959" w:rsidRDefault="004B7959">
      <w:pPr>
        <w:pStyle w:val="Standard"/>
        <w:autoSpaceDE w:val="0"/>
        <w:jc w:val="both"/>
        <w:rPr>
          <w:rFonts w:ascii="Work Sans" w:eastAsia="DengXian Light" w:hAnsi="Work Sans" w:cs="Arial"/>
          <w:sz w:val="20"/>
        </w:rPr>
      </w:pPr>
    </w:p>
    <w:p w14:paraId="20FF498C" w14:textId="77777777" w:rsidR="004B7959" w:rsidRDefault="008353BB">
      <w:pPr>
        <w:widowControl/>
        <w:autoSpaceDE w:val="0"/>
        <w:jc w:val="both"/>
      </w:pPr>
      <w:r>
        <w:rPr>
          <w:rFonts w:ascii="Work Sans" w:eastAsia="DengXian Light" w:hAnsi="Work Sans" w:cs="Arial"/>
          <w:sz w:val="20"/>
          <w:szCs w:val="20"/>
          <w:lang w:bidi="ar-SA"/>
        </w:rPr>
        <w:t xml:space="preserve">Que a través del Memorando </w:t>
      </w:r>
      <w:r w:rsidR="00313F48" w:rsidRPr="00AB7791">
        <w:rPr>
          <w:rFonts w:ascii="Work Sans" w:eastAsia="DengXian Light" w:hAnsi="Work Sans" w:cs="Arial"/>
          <w:sz w:val="20"/>
          <w:szCs w:val="20"/>
          <w:lang w:bidi="ar-SA"/>
        </w:rPr>
        <w:t>20231410027453</w:t>
      </w:r>
      <w:r w:rsidRPr="00AB7791">
        <w:rPr>
          <w:rFonts w:ascii="Work Sans" w:eastAsia="DengXian Light" w:hAnsi="Work Sans" w:cs="Arial"/>
          <w:sz w:val="20"/>
          <w:szCs w:val="20"/>
          <w:lang w:bidi="ar-SA"/>
        </w:rPr>
        <w:t xml:space="preserve">del </w:t>
      </w:r>
      <w:r w:rsidR="00313F48" w:rsidRPr="00AB7791">
        <w:rPr>
          <w:rFonts w:ascii="Work Sans" w:eastAsia="DengXian Light" w:hAnsi="Work Sans" w:cs="Arial"/>
          <w:sz w:val="20"/>
          <w:szCs w:val="20"/>
          <w:lang w:bidi="ar-SA"/>
        </w:rPr>
        <w:t>13</w:t>
      </w:r>
      <w:r w:rsidRPr="00AB7791">
        <w:rPr>
          <w:rFonts w:ascii="Work Sans" w:eastAsia="DengXian Light" w:hAnsi="Work Sans" w:cs="Arial"/>
          <w:sz w:val="20"/>
          <w:szCs w:val="20"/>
          <w:lang w:bidi="ar-SA"/>
        </w:rPr>
        <w:t xml:space="preserve"> de </w:t>
      </w:r>
      <w:r w:rsidR="00313F48" w:rsidRPr="00AB7791">
        <w:rPr>
          <w:rFonts w:ascii="Work Sans" w:eastAsia="DengXian Light" w:hAnsi="Work Sans" w:cs="Arial"/>
          <w:sz w:val="20"/>
          <w:szCs w:val="20"/>
          <w:lang w:bidi="ar-SA"/>
        </w:rPr>
        <w:t>marzo</w:t>
      </w:r>
      <w:r w:rsidRPr="00AB7791">
        <w:rPr>
          <w:rFonts w:ascii="Work Sans" w:eastAsia="DengXian Light" w:hAnsi="Work Sans" w:cs="Arial"/>
          <w:sz w:val="20"/>
          <w:szCs w:val="20"/>
          <w:lang w:bidi="ar-SA"/>
        </w:rPr>
        <w:t xml:space="preserve"> de 202</w:t>
      </w:r>
      <w:r w:rsidR="00313F48" w:rsidRPr="00AB7791">
        <w:rPr>
          <w:rFonts w:ascii="Work Sans" w:eastAsia="DengXian Light" w:hAnsi="Work Sans" w:cs="Arial"/>
          <w:sz w:val="20"/>
          <w:szCs w:val="20"/>
          <w:lang w:bidi="ar-SA"/>
        </w:rPr>
        <w:t>3</w:t>
      </w:r>
      <w:r>
        <w:rPr>
          <w:rFonts w:ascii="Work Sans" w:eastAsia="DengXian Light" w:hAnsi="Work Sans" w:cs="Arial"/>
          <w:sz w:val="20"/>
          <w:szCs w:val="20"/>
          <w:lang w:bidi="ar-SA"/>
        </w:rPr>
        <w:t>, la Oficina de Regulación Económica del Ministerio de Transporte en cumplimiento de lo establecido en el numeral 9.8 del artículo 9° del </w:t>
      </w:r>
      <w:hyperlink r:id="rId10" w:history="1">
        <w:r>
          <w:rPr>
            <w:rFonts w:ascii="Work Sans" w:eastAsia="DengXian Light" w:hAnsi="Work Sans" w:cs="Arial"/>
            <w:sz w:val="20"/>
            <w:szCs w:val="20"/>
            <w:lang w:bidi="ar-SA"/>
          </w:rPr>
          <w:t>Decreto 087 de 2011</w:t>
        </w:r>
      </w:hyperlink>
      <w:r>
        <w:rPr>
          <w:rFonts w:ascii="Work Sans" w:eastAsia="DengXian Light" w:hAnsi="Work Sans" w:cs="Arial"/>
          <w:sz w:val="20"/>
          <w:szCs w:val="20"/>
          <w:lang w:bidi="ar-SA"/>
        </w:rPr>
        <w:t xml:space="preserve">, analizó y dio viabilidad para </w:t>
      </w:r>
      <w:r w:rsidR="00313F48">
        <w:rPr>
          <w:rFonts w:ascii="Work Sans" w:eastAsia="Arial Unicode MS" w:hAnsi="Work Sans"/>
          <w:kern w:val="0"/>
          <w:sz w:val="20"/>
          <w:szCs w:val="20"/>
          <w:lang w:val="es-CO"/>
        </w:rPr>
        <w:t xml:space="preserve">establecer por un periodo de seis meses, la exención del cincuenta por ciento del (50%) del valor de la tarifa en los peajes </w:t>
      </w:r>
      <w:r w:rsidR="00AD26EB">
        <w:rPr>
          <w:rFonts w:ascii="Work Sans" w:eastAsia="Arial Unicode MS" w:hAnsi="Work Sans"/>
          <w:kern w:val="0"/>
          <w:sz w:val="20"/>
          <w:szCs w:val="20"/>
          <w:lang w:val="es-CO"/>
        </w:rPr>
        <w:t>Platanal y Pailitas</w:t>
      </w:r>
      <w:r w:rsidR="00313F48">
        <w:rPr>
          <w:rFonts w:ascii="Work Sans" w:eastAsia="Arial Unicode MS" w:hAnsi="Work Sans"/>
          <w:kern w:val="0"/>
          <w:sz w:val="20"/>
          <w:szCs w:val="20"/>
          <w:lang w:val="es-CO"/>
        </w:rPr>
        <w:t xml:space="preserve">, </w:t>
      </w:r>
      <w:r w:rsidR="003344CA">
        <w:rPr>
          <w:rFonts w:ascii="Work Sans" w:eastAsia="Arial Unicode MS" w:hAnsi="Work Sans"/>
          <w:kern w:val="0"/>
          <w:sz w:val="20"/>
          <w:szCs w:val="20"/>
          <w:lang w:val="es-CO"/>
        </w:rPr>
        <w:t>en los siguientes términos:</w:t>
      </w:r>
    </w:p>
    <w:p w14:paraId="7CB5361B" w14:textId="77777777" w:rsidR="004B7959" w:rsidRDefault="004B7959">
      <w:pPr>
        <w:widowControl/>
        <w:autoSpaceDE w:val="0"/>
        <w:jc w:val="both"/>
        <w:rPr>
          <w:rFonts w:ascii="Work Sans" w:eastAsia="DengXian Light" w:hAnsi="Work Sans" w:cs="Arial"/>
          <w:sz w:val="20"/>
          <w:szCs w:val="20"/>
          <w:lang w:bidi="ar-SA"/>
        </w:rPr>
      </w:pPr>
    </w:p>
    <w:p w14:paraId="4EE99721" w14:textId="77777777" w:rsidR="003344CA" w:rsidRPr="003344CA" w:rsidRDefault="003344CA" w:rsidP="003344CA">
      <w:pPr>
        <w:widowControl/>
        <w:ind w:left="567" w:right="680"/>
        <w:jc w:val="both"/>
        <w:textAlignment w:val="auto"/>
        <w:rPr>
          <w:rFonts w:ascii="Work Sans" w:eastAsia="DengXian Light" w:hAnsi="Work Sans" w:cs="Arial"/>
          <w:i/>
          <w:sz w:val="20"/>
          <w:szCs w:val="20"/>
          <w:lang w:val="es" w:bidi="ar-SA"/>
        </w:rPr>
      </w:pPr>
      <w:r>
        <w:rPr>
          <w:rFonts w:ascii="Work Sans" w:eastAsia="DengXian Light" w:hAnsi="Work Sans" w:cs="Arial"/>
          <w:i/>
          <w:sz w:val="20"/>
          <w:szCs w:val="20"/>
          <w:lang w:val="es" w:bidi="ar-SA"/>
        </w:rPr>
        <w:t>“</w:t>
      </w:r>
      <w:r w:rsidRPr="003344CA">
        <w:rPr>
          <w:rFonts w:ascii="Work Sans" w:eastAsia="DengXian Light" w:hAnsi="Work Sans" w:cs="Arial"/>
          <w:i/>
          <w:sz w:val="20"/>
          <w:szCs w:val="20"/>
          <w:lang w:val="es" w:bidi="ar-SA"/>
        </w:rPr>
        <w:t xml:space="preserve">La Oficina de Regulación Económica se permite emitir concepto favorable para establecer por un periodo de seis meses, la exención del cincuenta por ciento del (50%) del valor de la tarifa en los peajes Pailitas, La Loma, El Copey, </w:t>
      </w:r>
      <w:proofErr w:type="spellStart"/>
      <w:r w:rsidRPr="003344CA">
        <w:rPr>
          <w:rFonts w:ascii="Work Sans" w:eastAsia="DengXian Light" w:hAnsi="Work Sans" w:cs="Arial"/>
          <w:i/>
          <w:sz w:val="20"/>
          <w:szCs w:val="20"/>
          <w:lang w:val="es" w:bidi="ar-SA"/>
        </w:rPr>
        <w:t>Tucurinca</w:t>
      </w:r>
      <w:proofErr w:type="spellEnd"/>
      <w:r w:rsidRPr="003344CA">
        <w:rPr>
          <w:rFonts w:ascii="Work Sans" w:eastAsia="DengXian Light" w:hAnsi="Work Sans" w:cs="Arial"/>
          <w:i/>
          <w:sz w:val="20"/>
          <w:szCs w:val="20"/>
          <w:lang w:val="es" w:bidi="ar-SA"/>
        </w:rPr>
        <w:t xml:space="preserve"> y Platanal, para vehículos de transporte de carga que transporten carbón térmico o carbón mineral térmico desde el departamento de Norte de Santander hacia los municipios de Chiriguaná, La Loma, Santa Marta, Dibulla (Guajira), Barranquilla o Cartagena y su viaje de regreso de estos municipios hacia su lugar de origen </w:t>
      </w:r>
      <w:r w:rsidR="00387141">
        <w:rPr>
          <w:rFonts w:ascii="Work Sans" w:eastAsia="DengXian Light" w:hAnsi="Work Sans" w:cs="Arial"/>
          <w:i/>
          <w:sz w:val="20"/>
          <w:szCs w:val="20"/>
          <w:lang w:val="es" w:bidi="ar-SA"/>
        </w:rPr>
        <w:t>(…).</w:t>
      </w:r>
    </w:p>
    <w:p w14:paraId="7257A76D" w14:textId="77777777" w:rsidR="003344CA" w:rsidRPr="003344CA" w:rsidRDefault="003344CA" w:rsidP="003344CA">
      <w:pPr>
        <w:widowControl/>
        <w:ind w:left="567" w:right="680"/>
        <w:jc w:val="both"/>
        <w:textAlignment w:val="auto"/>
        <w:rPr>
          <w:rFonts w:ascii="Work Sans" w:eastAsia="DengXian Light" w:hAnsi="Work Sans" w:cs="Arial"/>
          <w:i/>
          <w:sz w:val="20"/>
          <w:szCs w:val="20"/>
          <w:lang w:val="es" w:bidi="ar-SA"/>
        </w:rPr>
      </w:pPr>
    </w:p>
    <w:p w14:paraId="27BEE3A8" w14:textId="77777777" w:rsidR="003344CA" w:rsidRPr="003344CA" w:rsidRDefault="003344CA" w:rsidP="003344CA">
      <w:pPr>
        <w:widowControl/>
        <w:ind w:left="567" w:right="680"/>
        <w:jc w:val="both"/>
        <w:textAlignment w:val="auto"/>
        <w:rPr>
          <w:rFonts w:ascii="Work Sans" w:eastAsia="DengXian Light" w:hAnsi="Work Sans" w:cs="Arial"/>
          <w:i/>
          <w:sz w:val="20"/>
          <w:szCs w:val="20"/>
          <w:lang w:val="es" w:bidi="ar-SA"/>
        </w:rPr>
      </w:pPr>
      <w:r w:rsidRPr="003344CA">
        <w:rPr>
          <w:rFonts w:ascii="Work Sans" w:eastAsia="DengXian Light" w:hAnsi="Work Sans" w:cs="Arial"/>
          <w:i/>
          <w:sz w:val="20"/>
          <w:szCs w:val="20"/>
          <w:lang w:val="es" w:bidi="ar-SA"/>
        </w:rPr>
        <w:t>Lo anterior, teniendo en cuenta lo siguiente:</w:t>
      </w:r>
    </w:p>
    <w:p w14:paraId="61305C9A" w14:textId="77777777" w:rsidR="003344CA" w:rsidRPr="003344CA" w:rsidRDefault="003344CA" w:rsidP="003344CA">
      <w:pPr>
        <w:widowControl/>
        <w:ind w:left="567" w:right="680"/>
        <w:jc w:val="both"/>
        <w:textAlignment w:val="auto"/>
        <w:rPr>
          <w:rFonts w:ascii="Work Sans" w:eastAsia="DengXian Light" w:hAnsi="Work Sans" w:cs="Arial"/>
          <w:i/>
          <w:sz w:val="20"/>
          <w:szCs w:val="20"/>
          <w:lang w:val="es" w:bidi="ar-SA"/>
        </w:rPr>
      </w:pPr>
    </w:p>
    <w:p w14:paraId="175D5F1B" w14:textId="77777777" w:rsidR="003344CA" w:rsidRPr="003344CA" w:rsidRDefault="003344CA" w:rsidP="003344CA">
      <w:pPr>
        <w:widowControl/>
        <w:ind w:left="567" w:right="680"/>
        <w:jc w:val="both"/>
        <w:textAlignment w:val="auto"/>
        <w:rPr>
          <w:rFonts w:ascii="Work Sans" w:eastAsia="DengXian Light" w:hAnsi="Work Sans" w:cs="Arial"/>
          <w:i/>
          <w:sz w:val="20"/>
          <w:szCs w:val="20"/>
          <w:lang w:val="es" w:bidi="ar-SA"/>
        </w:rPr>
      </w:pPr>
      <w:r w:rsidRPr="003344CA">
        <w:rPr>
          <w:rFonts w:ascii="Work Sans" w:eastAsia="DengXian Light" w:hAnsi="Work Sans" w:cs="Arial"/>
          <w:i/>
          <w:sz w:val="20"/>
          <w:szCs w:val="20"/>
          <w:lang w:val="es" w:bidi="ar-SA"/>
        </w:rPr>
        <w:t>1. Oficio 1-2023-007441 del 08 de marzo de 2023, y en la que el Dr. Germán Camilo Prieto Director de Integración Económica del Ministerio de Comercio Industria y Turismo.</w:t>
      </w:r>
    </w:p>
    <w:p w14:paraId="74165C82" w14:textId="77777777" w:rsidR="003344CA" w:rsidRPr="003344CA" w:rsidRDefault="003344CA" w:rsidP="003344CA">
      <w:pPr>
        <w:widowControl/>
        <w:ind w:left="567" w:right="680"/>
        <w:jc w:val="both"/>
        <w:textAlignment w:val="auto"/>
        <w:rPr>
          <w:rFonts w:ascii="Work Sans" w:eastAsia="DengXian Light" w:hAnsi="Work Sans" w:cs="Arial"/>
          <w:i/>
          <w:sz w:val="20"/>
          <w:szCs w:val="20"/>
          <w:lang w:val="es" w:bidi="ar-SA"/>
        </w:rPr>
      </w:pPr>
    </w:p>
    <w:p w14:paraId="18E7CEEE" w14:textId="77777777" w:rsidR="003344CA" w:rsidRPr="003344CA" w:rsidRDefault="003344CA" w:rsidP="003344CA">
      <w:pPr>
        <w:widowControl/>
        <w:ind w:left="567" w:right="680"/>
        <w:jc w:val="both"/>
        <w:textAlignment w:val="auto"/>
        <w:rPr>
          <w:rFonts w:ascii="Work Sans" w:eastAsia="DengXian Light" w:hAnsi="Work Sans" w:cs="Arial"/>
          <w:i/>
          <w:sz w:val="20"/>
          <w:szCs w:val="20"/>
          <w:lang w:val="es" w:bidi="ar-SA"/>
        </w:rPr>
      </w:pPr>
      <w:r w:rsidRPr="003344CA">
        <w:rPr>
          <w:rFonts w:ascii="Work Sans" w:eastAsia="DengXian Light" w:hAnsi="Work Sans" w:cs="Arial"/>
          <w:i/>
          <w:sz w:val="20"/>
          <w:szCs w:val="20"/>
          <w:lang w:val="es" w:bidi="ar-SA"/>
        </w:rPr>
        <w:t>2. Solicitud de la Asociación de Carboneros de Norte de Santander - ASOCARBONOR mediante oficio GE22-0450, radicado en el Ministerio de Transporte mediante el No. 20223031276162 del 5 de julio de 2022.</w:t>
      </w:r>
    </w:p>
    <w:p w14:paraId="0FFA42ED" w14:textId="77777777" w:rsidR="003344CA" w:rsidRPr="003344CA" w:rsidRDefault="003344CA" w:rsidP="003344CA">
      <w:pPr>
        <w:widowControl/>
        <w:ind w:left="567" w:right="680"/>
        <w:jc w:val="both"/>
        <w:textAlignment w:val="auto"/>
        <w:rPr>
          <w:rFonts w:ascii="Work Sans" w:eastAsia="DengXian Light" w:hAnsi="Work Sans" w:cs="Arial"/>
          <w:i/>
          <w:sz w:val="20"/>
          <w:szCs w:val="20"/>
          <w:lang w:val="es" w:bidi="ar-SA"/>
        </w:rPr>
      </w:pPr>
    </w:p>
    <w:p w14:paraId="0EE635FF" w14:textId="77777777" w:rsidR="003344CA" w:rsidRPr="003344CA" w:rsidRDefault="003344CA" w:rsidP="003344CA">
      <w:pPr>
        <w:widowControl/>
        <w:ind w:left="567" w:right="680"/>
        <w:jc w:val="both"/>
        <w:textAlignment w:val="auto"/>
        <w:rPr>
          <w:rFonts w:ascii="Work Sans" w:eastAsia="DengXian Light" w:hAnsi="Work Sans" w:cs="Arial"/>
          <w:i/>
          <w:sz w:val="20"/>
          <w:szCs w:val="20"/>
          <w:lang w:val="es" w:bidi="ar-SA"/>
        </w:rPr>
      </w:pPr>
      <w:r w:rsidRPr="003344CA">
        <w:rPr>
          <w:rFonts w:ascii="Work Sans" w:eastAsia="DengXian Light" w:hAnsi="Work Sans" w:cs="Arial"/>
          <w:i/>
          <w:sz w:val="20"/>
          <w:szCs w:val="20"/>
          <w:lang w:val="es" w:bidi="ar-SA"/>
        </w:rPr>
        <w:t xml:space="preserve">3. Pronunciamientos de favorabilidad de la Agencia Nacional de Infraestructura - ANI, mediante radicado </w:t>
      </w:r>
      <w:proofErr w:type="spellStart"/>
      <w:r w:rsidRPr="003344CA">
        <w:rPr>
          <w:rFonts w:ascii="Work Sans" w:eastAsia="DengXian Light" w:hAnsi="Work Sans" w:cs="Arial"/>
          <w:i/>
          <w:sz w:val="20"/>
          <w:szCs w:val="20"/>
          <w:lang w:val="es" w:bidi="ar-SA"/>
        </w:rPr>
        <w:t>Radicado</w:t>
      </w:r>
      <w:proofErr w:type="spellEnd"/>
      <w:r w:rsidRPr="003344CA">
        <w:rPr>
          <w:rFonts w:ascii="Work Sans" w:eastAsia="DengXian Light" w:hAnsi="Work Sans" w:cs="Arial"/>
          <w:i/>
          <w:sz w:val="20"/>
          <w:szCs w:val="20"/>
          <w:lang w:val="es" w:bidi="ar-SA"/>
        </w:rPr>
        <w:t xml:space="preserve"> ANI No.: 20235000084991 de fecha 13 de marzo de 2023 y el comunicado del Instituto Nacional de Vías – INVIAS, mediante oficio INVIAS No. DG 13223 del 09 de marzo de 2023, radicado en el Ministerio de Transporte con el No. 20233030412432 del 10 de marzo de 2023, y el alcance al Oficio DG 9583 del 23 de febrero de 2023 radicado en el Ministerio de Transporte mediante radicado No. 20233030337792 del 28 de febrero de 2023.</w:t>
      </w:r>
    </w:p>
    <w:p w14:paraId="30B23E72" w14:textId="77777777" w:rsidR="003344CA" w:rsidRPr="003344CA" w:rsidRDefault="003344CA" w:rsidP="003344CA">
      <w:pPr>
        <w:widowControl/>
        <w:ind w:left="567" w:right="680"/>
        <w:jc w:val="both"/>
        <w:textAlignment w:val="auto"/>
        <w:rPr>
          <w:rFonts w:ascii="Work Sans" w:eastAsia="DengXian Light" w:hAnsi="Work Sans" w:cs="Arial"/>
          <w:i/>
          <w:sz w:val="20"/>
          <w:szCs w:val="20"/>
          <w:lang w:val="es" w:bidi="ar-SA"/>
        </w:rPr>
      </w:pPr>
    </w:p>
    <w:p w14:paraId="411267D7" w14:textId="77777777" w:rsidR="003344CA" w:rsidRPr="003344CA" w:rsidRDefault="003344CA" w:rsidP="003344CA">
      <w:pPr>
        <w:widowControl/>
        <w:ind w:left="567" w:right="680"/>
        <w:jc w:val="both"/>
        <w:textAlignment w:val="auto"/>
        <w:rPr>
          <w:rFonts w:ascii="Work Sans" w:eastAsia="DengXian Light" w:hAnsi="Work Sans" w:cs="Arial"/>
          <w:i/>
          <w:sz w:val="20"/>
          <w:szCs w:val="20"/>
          <w:lang w:val="es" w:bidi="ar-SA"/>
        </w:rPr>
      </w:pPr>
      <w:r w:rsidRPr="003344CA">
        <w:rPr>
          <w:rFonts w:ascii="Work Sans" w:eastAsia="DengXian Light" w:hAnsi="Work Sans" w:cs="Arial"/>
          <w:i/>
          <w:sz w:val="20"/>
          <w:szCs w:val="20"/>
          <w:lang w:val="es" w:bidi="ar-SA"/>
        </w:rPr>
        <w:t xml:space="preserve">4. Como consta en los pronunciamientos de las entidades transcritos en los antecedentes, se solicita, otorgar por seis meses el beneficio del 50% del valor de los peajes a los vehículos de carga que transportan carbón térmico o carbón mineral térmico desde Norte de Santander en los peajes La Loma, El copey, </w:t>
      </w:r>
      <w:proofErr w:type="spellStart"/>
      <w:r w:rsidRPr="003344CA">
        <w:rPr>
          <w:rFonts w:ascii="Work Sans" w:eastAsia="DengXian Light" w:hAnsi="Work Sans" w:cs="Arial"/>
          <w:i/>
          <w:sz w:val="20"/>
          <w:szCs w:val="20"/>
          <w:lang w:val="es" w:bidi="ar-SA"/>
        </w:rPr>
        <w:t>Tucurinca</w:t>
      </w:r>
      <w:proofErr w:type="spellEnd"/>
      <w:r w:rsidRPr="003344CA">
        <w:rPr>
          <w:rFonts w:ascii="Work Sans" w:eastAsia="DengXian Light" w:hAnsi="Work Sans" w:cs="Arial"/>
          <w:i/>
          <w:sz w:val="20"/>
          <w:szCs w:val="20"/>
          <w:lang w:val="es" w:bidi="ar-SA"/>
        </w:rPr>
        <w:t xml:space="preserve"> y Pailitas, a cargo de la ANI y Platanal a cargo del INVIAS y el beneficio de la exención del cincuenta por ciento (50%) de la tarifa de paso actual, por el derecho de tránsito por cada tonelada métrica de carga de carbón proveniente del departamento de Norte de Santander transportadas por el corredor férreo en el tramo Gamarra - Chiriguaná - Santa Marta respectivamente.</w:t>
      </w:r>
    </w:p>
    <w:p w14:paraId="7A26876E" w14:textId="77777777" w:rsidR="004B7959" w:rsidRDefault="004B7959">
      <w:pPr>
        <w:pStyle w:val="Standard"/>
        <w:autoSpaceDE w:val="0"/>
        <w:jc w:val="both"/>
        <w:rPr>
          <w:rFonts w:ascii="Work Sans" w:eastAsia="DengXian Light" w:hAnsi="Work Sans" w:cs="Arial"/>
          <w:sz w:val="20"/>
        </w:rPr>
      </w:pPr>
    </w:p>
    <w:p w14:paraId="33268F7B" w14:textId="77777777" w:rsidR="003344CA" w:rsidRDefault="003344CA" w:rsidP="003344CA">
      <w:pPr>
        <w:pStyle w:val="Standard"/>
        <w:autoSpaceDE w:val="0"/>
        <w:jc w:val="both"/>
        <w:rPr>
          <w:rFonts w:ascii="Work Sans" w:eastAsia="DengXian Light" w:hAnsi="Work Sans" w:cs="Arial"/>
          <w:sz w:val="20"/>
        </w:rPr>
      </w:pPr>
      <w:r w:rsidRPr="003344CA">
        <w:rPr>
          <w:rFonts w:ascii="Work Sans" w:eastAsia="DengXian Light" w:hAnsi="Work Sans" w:cs="Arial"/>
          <w:sz w:val="20"/>
        </w:rPr>
        <w:t xml:space="preserve">Que conforme lo anterior, se estima procedente establecer una tarifa diferencial en las estaciones de peaje denominadas </w:t>
      </w:r>
      <w:r w:rsidR="00AD26EB">
        <w:rPr>
          <w:rFonts w:ascii="Work Sans" w:eastAsia="DengXian Light" w:hAnsi="Work Sans" w:cs="Arial"/>
          <w:sz w:val="20"/>
        </w:rPr>
        <w:t>Platanal y Pailitas</w:t>
      </w:r>
      <w:r w:rsidR="00AD26EB" w:rsidRPr="003344CA">
        <w:rPr>
          <w:rFonts w:ascii="Work Sans" w:eastAsia="DengXian Light" w:hAnsi="Work Sans" w:cs="Arial"/>
          <w:sz w:val="20"/>
        </w:rPr>
        <w:t xml:space="preserve">, </w:t>
      </w:r>
      <w:r w:rsidRPr="003344CA">
        <w:rPr>
          <w:rFonts w:ascii="Work Sans" w:eastAsia="DengXian Light" w:hAnsi="Work Sans" w:cs="Arial"/>
          <w:sz w:val="20"/>
        </w:rPr>
        <w:t xml:space="preserve">para los vehículos de transporte de carga que transporten carbón desde Norte de Santander hacia los municipios de </w:t>
      </w:r>
      <w:r w:rsidR="00AD26EB">
        <w:rPr>
          <w:rFonts w:ascii="Work Sans" w:eastAsia="DengXian Light" w:hAnsi="Work Sans" w:cs="Arial"/>
          <w:sz w:val="20"/>
        </w:rPr>
        <w:t xml:space="preserve">La Jagua, Chiriguaná, Gamarra, La Loma, </w:t>
      </w:r>
      <w:r w:rsidRPr="003344CA">
        <w:rPr>
          <w:rFonts w:ascii="Work Sans" w:eastAsia="DengXian Light" w:hAnsi="Work Sans" w:cs="Arial"/>
          <w:sz w:val="20"/>
        </w:rPr>
        <w:t>Santa Marta, Dibulla (Guajira), Barranquilla o Cartagena y su viaje de regreso de estos municipios hacia su lugar de origen y se regula el procedimiento y condiciones aplicables a La misma</w:t>
      </w:r>
      <w:r>
        <w:rPr>
          <w:rFonts w:ascii="Work Sans" w:eastAsia="DengXian Light" w:hAnsi="Work Sans" w:cs="Arial"/>
          <w:sz w:val="20"/>
        </w:rPr>
        <w:t>, por un término de seis (6) meses</w:t>
      </w:r>
      <w:r w:rsidRPr="003344CA">
        <w:rPr>
          <w:rFonts w:ascii="Work Sans" w:eastAsia="DengXian Light" w:hAnsi="Work Sans" w:cs="Arial"/>
          <w:sz w:val="20"/>
        </w:rPr>
        <w:t xml:space="preserve">. </w:t>
      </w:r>
      <w:r w:rsidRPr="003344CA">
        <w:rPr>
          <w:rFonts w:ascii="Work Sans" w:eastAsia="DengXian Light" w:hAnsi="Work Sans" w:cs="Arial"/>
          <w:sz w:val="20"/>
        </w:rPr>
        <w:cr/>
      </w:r>
    </w:p>
    <w:p w14:paraId="695B39B9" w14:textId="35043CEB" w:rsidR="003344CA" w:rsidRDefault="003344CA" w:rsidP="003344CA">
      <w:pPr>
        <w:pStyle w:val="Standard"/>
        <w:autoSpaceDE w:val="0"/>
        <w:jc w:val="both"/>
        <w:rPr>
          <w:rFonts w:ascii="Work Sans" w:eastAsia="DengXian Light" w:hAnsi="Work Sans" w:cs="Arial"/>
          <w:sz w:val="20"/>
        </w:rPr>
      </w:pPr>
      <w:r>
        <w:rPr>
          <w:rFonts w:ascii="Work Sans" w:eastAsia="DengXian Light" w:hAnsi="Work Sans" w:cs="Arial"/>
          <w:sz w:val="20"/>
        </w:rPr>
        <w:t xml:space="preserve">Que el contenido de la presente resolución fue publicado </w:t>
      </w:r>
      <w:r w:rsidR="00AD26EB">
        <w:rPr>
          <w:rFonts w:ascii="Work Sans" w:eastAsia="DengXian Light" w:hAnsi="Work Sans" w:cs="Arial"/>
          <w:sz w:val="20"/>
        </w:rPr>
        <w:t xml:space="preserve">por el término de dos (2) horas </w:t>
      </w:r>
      <w:r>
        <w:rPr>
          <w:rFonts w:ascii="Work Sans" w:eastAsia="DengXian Light" w:hAnsi="Work Sans" w:cs="Arial"/>
          <w:sz w:val="20"/>
        </w:rPr>
        <w:t xml:space="preserve">el 14 de marzo </w:t>
      </w:r>
      <w:r w:rsidR="00AD26EB">
        <w:rPr>
          <w:rFonts w:ascii="Work Sans" w:eastAsia="DengXian Light" w:hAnsi="Work Sans" w:cs="Arial"/>
          <w:sz w:val="20"/>
        </w:rPr>
        <w:t>entre las 3:00 pm y las 5:00 p.m.</w:t>
      </w:r>
      <w:r>
        <w:rPr>
          <w:rFonts w:ascii="Work Sans" w:eastAsia="DengXian Light" w:hAnsi="Work Sans" w:cs="Arial"/>
          <w:sz w:val="20"/>
        </w:rPr>
        <w:t>, en la página web del Ministerio de Transporte</w:t>
      </w:r>
      <w:r w:rsidR="000C6001">
        <w:rPr>
          <w:rFonts w:ascii="Work Sans" w:eastAsia="DengXian Light" w:hAnsi="Work Sans" w:cs="Arial"/>
          <w:sz w:val="20"/>
        </w:rPr>
        <w:t xml:space="preserve">, </w:t>
      </w:r>
      <w:r w:rsidR="000C6001" w:rsidRPr="00AD26EB">
        <w:rPr>
          <w:rFonts w:ascii="Work Sans" w:hAnsi="Work Sans"/>
          <w:kern w:val="0"/>
          <w:sz w:val="20"/>
        </w:rPr>
        <w:t>del Instituto Nacional de Vías</w:t>
      </w:r>
      <w:r w:rsidR="000C6001">
        <w:rPr>
          <w:rFonts w:ascii="Work Sans" w:hAnsi="Work Sans"/>
          <w:kern w:val="0"/>
          <w:sz w:val="20"/>
        </w:rPr>
        <w:t xml:space="preserve"> </w:t>
      </w:r>
      <w:r w:rsidR="000C6001">
        <w:rPr>
          <w:rFonts w:ascii="Work Sans" w:hAnsi="Work Sans"/>
          <w:kern w:val="0"/>
          <w:sz w:val="20"/>
        </w:rPr>
        <w:t>–</w:t>
      </w:r>
      <w:r w:rsidR="000C6001">
        <w:rPr>
          <w:rFonts w:ascii="Work Sans" w:hAnsi="Work Sans"/>
          <w:kern w:val="0"/>
          <w:sz w:val="20"/>
        </w:rPr>
        <w:t xml:space="preserve"> INVÍAS</w:t>
      </w:r>
      <w:r w:rsidR="000C6001">
        <w:rPr>
          <w:rFonts w:ascii="Work Sans" w:hAnsi="Work Sans"/>
          <w:kern w:val="0"/>
          <w:sz w:val="20"/>
        </w:rPr>
        <w:t xml:space="preserve"> y la Agencia Nacional de Infraestructura,</w:t>
      </w:r>
      <w:r w:rsidR="000C6001">
        <w:rPr>
          <w:rFonts w:ascii="Work Sans" w:eastAsia="DengXian Light" w:hAnsi="Work Sans" w:cs="Arial"/>
          <w:sz w:val="20"/>
        </w:rPr>
        <w:t xml:space="preserve"> </w:t>
      </w:r>
      <w:r>
        <w:rPr>
          <w:rFonts w:ascii="Work Sans" w:eastAsia="DengXian Light" w:hAnsi="Work Sans" w:cs="Arial"/>
          <w:sz w:val="20"/>
        </w:rPr>
        <w:t xml:space="preserve"> en cumplimiento de lo determinado en el numeral 8 del artículo 8° de la Ley 1437 de 2011, artículo 2.1.2.1.14 del Decreto 1081 de 2015 modificado y adicionado por el Decreto 270 de 2017 y la Resolución 994 de 2017 del Ministerio de Transporte</w:t>
      </w:r>
      <w:r w:rsidR="00AD26EB">
        <w:rPr>
          <w:rFonts w:ascii="Work Sans" w:eastAsia="DengXian Light" w:hAnsi="Work Sans" w:cs="Arial"/>
          <w:sz w:val="20"/>
        </w:rPr>
        <w:t>, certificando que XXX</w:t>
      </w:r>
    </w:p>
    <w:p w14:paraId="6BC25874" w14:textId="77777777" w:rsidR="003344CA" w:rsidRDefault="003344CA" w:rsidP="003344CA">
      <w:pPr>
        <w:tabs>
          <w:tab w:val="left" w:pos="0"/>
        </w:tabs>
        <w:jc w:val="both"/>
        <w:rPr>
          <w:rFonts w:ascii="Work Sans" w:hAnsi="Work Sans" w:cs="Times New Roman"/>
          <w:iCs/>
          <w:sz w:val="20"/>
          <w:szCs w:val="20"/>
          <w:lang w:eastAsia="es-ES"/>
        </w:rPr>
      </w:pPr>
    </w:p>
    <w:p w14:paraId="19C849B6" w14:textId="77777777" w:rsidR="003344CA" w:rsidRDefault="003344CA" w:rsidP="003344CA">
      <w:pPr>
        <w:pStyle w:val="Standard"/>
        <w:autoSpaceDE w:val="0"/>
        <w:jc w:val="both"/>
        <w:rPr>
          <w:rFonts w:ascii="Work Sans" w:eastAsia="DengXian Light" w:hAnsi="Work Sans" w:cs="Arial"/>
          <w:sz w:val="20"/>
        </w:rPr>
      </w:pPr>
      <w:r>
        <w:rPr>
          <w:rFonts w:ascii="Work Sans" w:eastAsia="DengXian Light" w:hAnsi="Work Sans" w:cs="Arial"/>
          <w:sz w:val="20"/>
        </w:rPr>
        <w:t>Que la Oficina Asesora Jurídica del Ministerio de Transporte conservará los documentos asociados a la publicación del presente acto administrativo. Todo ello en concordancia con las políticas de gestión documental y de archivo de la entidad.</w:t>
      </w:r>
    </w:p>
    <w:p w14:paraId="33C0906D" w14:textId="77777777" w:rsidR="003344CA" w:rsidRDefault="003344CA">
      <w:pPr>
        <w:jc w:val="both"/>
        <w:rPr>
          <w:rFonts w:ascii="Work Sans" w:hAnsi="Work Sans" w:cs="Times New Roman"/>
          <w:sz w:val="20"/>
          <w:szCs w:val="20"/>
          <w:lang w:val="es-CO" w:eastAsia="es-ES"/>
        </w:rPr>
      </w:pPr>
    </w:p>
    <w:p w14:paraId="7D71801C" w14:textId="77777777" w:rsidR="004B7959" w:rsidRDefault="008353BB">
      <w:pPr>
        <w:jc w:val="both"/>
        <w:rPr>
          <w:rFonts w:ascii="Work Sans" w:hAnsi="Work Sans" w:cs="Times New Roman"/>
          <w:sz w:val="20"/>
          <w:szCs w:val="20"/>
          <w:lang w:val="es-CO" w:eastAsia="es-ES"/>
        </w:rPr>
      </w:pPr>
      <w:r>
        <w:rPr>
          <w:rFonts w:ascii="Work Sans" w:hAnsi="Work Sans" w:cs="Times New Roman"/>
          <w:sz w:val="20"/>
          <w:szCs w:val="20"/>
          <w:lang w:val="es-CO" w:eastAsia="es-ES"/>
        </w:rPr>
        <w:t>En mérito de lo expuesto,</w:t>
      </w:r>
    </w:p>
    <w:p w14:paraId="064C9C33" w14:textId="77777777" w:rsidR="004B7959" w:rsidRDefault="004B7959">
      <w:pPr>
        <w:jc w:val="both"/>
        <w:rPr>
          <w:rFonts w:ascii="Work Sans" w:hAnsi="Work Sans" w:cs="Times New Roman"/>
          <w:sz w:val="20"/>
          <w:szCs w:val="20"/>
          <w:lang w:val="es-CO" w:eastAsia="es-ES"/>
        </w:rPr>
      </w:pPr>
    </w:p>
    <w:p w14:paraId="441104E7" w14:textId="77777777" w:rsidR="004B7959" w:rsidRDefault="008353BB">
      <w:pPr>
        <w:jc w:val="center"/>
        <w:rPr>
          <w:rFonts w:ascii="Work Sans" w:hAnsi="Work Sans" w:cs="Times New Roman"/>
          <w:b/>
          <w:sz w:val="20"/>
          <w:szCs w:val="20"/>
          <w:lang w:eastAsia="es-ES"/>
        </w:rPr>
      </w:pPr>
      <w:r>
        <w:rPr>
          <w:rFonts w:ascii="Work Sans" w:hAnsi="Work Sans" w:cs="Times New Roman"/>
          <w:b/>
          <w:sz w:val="20"/>
          <w:szCs w:val="20"/>
          <w:lang w:eastAsia="es-ES"/>
        </w:rPr>
        <w:t>RESUELVE:</w:t>
      </w:r>
    </w:p>
    <w:p w14:paraId="5BF5EA7B" w14:textId="77777777" w:rsidR="004B7959" w:rsidRDefault="004B7959">
      <w:pPr>
        <w:jc w:val="center"/>
        <w:rPr>
          <w:rFonts w:ascii="Work Sans" w:hAnsi="Work Sans" w:cs="Times New Roman"/>
          <w:b/>
          <w:sz w:val="20"/>
          <w:szCs w:val="20"/>
          <w:lang w:eastAsia="es-ES"/>
        </w:rPr>
      </w:pPr>
    </w:p>
    <w:p w14:paraId="0431655A" w14:textId="77777777" w:rsidR="004B7959" w:rsidRDefault="008353BB" w:rsidP="003344CA">
      <w:pPr>
        <w:jc w:val="both"/>
        <w:rPr>
          <w:rFonts w:ascii="Work Sans" w:eastAsia="DengXian Light" w:hAnsi="Work Sans" w:cs="Arial"/>
          <w:sz w:val="20"/>
          <w:szCs w:val="20"/>
          <w:lang w:bidi="ar-SA"/>
        </w:rPr>
      </w:pPr>
      <w:r>
        <w:rPr>
          <w:rFonts w:ascii="Work Sans" w:hAnsi="Work Sans"/>
          <w:b/>
          <w:bCs/>
          <w:sz w:val="20"/>
          <w:szCs w:val="20"/>
        </w:rPr>
        <w:t xml:space="preserve">ARTÍCULO 1.- </w:t>
      </w:r>
      <w:r w:rsidR="003344CA" w:rsidRPr="003344CA">
        <w:rPr>
          <w:rFonts w:ascii="Work Sans" w:eastAsia="DengXian Light" w:hAnsi="Work Sans" w:cs="Arial"/>
          <w:sz w:val="20"/>
          <w:szCs w:val="20"/>
          <w:lang w:bidi="ar-SA"/>
        </w:rPr>
        <w:t xml:space="preserve">Establecer una tarifa diferencial en las estaciones de peaje denominadas </w:t>
      </w:r>
      <w:r w:rsidR="00AD26EB">
        <w:rPr>
          <w:rFonts w:ascii="Work Sans" w:eastAsia="DengXian Light" w:hAnsi="Work Sans" w:cs="Arial"/>
          <w:sz w:val="20"/>
          <w:szCs w:val="20"/>
          <w:lang w:bidi="ar-SA"/>
        </w:rPr>
        <w:t>Platanal</w:t>
      </w:r>
      <w:r w:rsidR="003344CA" w:rsidRPr="003344CA">
        <w:rPr>
          <w:rFonts w:ascii="Work Sans" w:eastAsia="DengXian Light" w:hAnsi="Work Sans" w:cs="Arial"/>
          <w:sz w:val="20"/>
          <w:szCs w:val="20"/>
          <w:lang w:bidi="ar-SA"/>
        </w:rPr>
        <w:t xml:space="preserve"> ubicado en el </w:t>
      </w:r>
      <w:r w:rsidR="00AD26EB" w:rsidRPr="00AD26EB">
        <w:rPr>
          <w:rFonts w:ascii="Work Sans" w:eastAsia="DengXian Light" w:hAnsi="Work Sans" w:cs="Arial"/>
          <w:sz w:val="20"/>
          <w:szCs w:val="20"/>
          <w:lang w:bidi="ar-SA"/>
        </w:rPr>
        <w:t>PR 14+200 de la Ruta 7007</w:t>
      </w:r>
      <w:r w:rsidR="00AD26EB">
        <w:rPr>
          <w:rFonts w:ascii="Work Sans" w:eastAsia="DengXian Light" w:hAnsi="Work Sans" w:cs="Arial"/>
          <w:sz w:val="20"/>
          <w:szCs w:val="20"/>
          <w:lang w:bidi="ar-SA"/>
        </w:rPr>
        <w:t xml:space="preserve"> y Pailitas </w:t>
      </w:r>
      <w:r w:rsidR="00AD26EB" w:rsidRPr="00AD26EB">
        <w:rPr>
          <w:rFonts w:ascii="Work Sans" w:eastAsia="DengXian Light" w:hAnsi="Work Sans" w:cs="Arial"/>
          <w:sz w:val="20"/>
          <w:szCs w:val="20"/>
          <w:lang w:bidi="ar-SA"/>
        </w:rPr>
        <w:t>ubicado en el PR 28+600 de la ruta 4515</w:t>
      </w:r>
      <w:r w:rsidR="00AD26EB">
        <w:rPr>
          <w:rFonts w:ascii="Work Sans" w:eastAsia="DengXian Light" w:hAnsi="Work Sans" w:cs="Arial"/>
          <w:sz w:val="20"/>
          <w:szCs w:val="20"/>
          <w:lang w:bidi="ar-SA"/>
        </w:rPr>
        <w:t>,</w:t>
      </w:r>
      <w:r w:rsidR="003344CA" w:rsidRPr="003344CA">
        <w:rPr>
          <w:rFonts w:ascii="Work Sans" w:eastAsia="DengXian Light" w:hAnsi="Work Sans" w:cs="Arial"/>
          <w:sz w:val="20"/>
          <w:szCs w:val="20"/>
          <w:lang w:bidi="ar-SA"/>
        </w:rPr>
        <w:t xml:space="preserve"> equivalente al 50% del valor de la tarifa para vehículos de transporte de carga que transporten carbón térmico o carbón mineral térmico desde el departamento de Norte de Santander hacia los municipios de </w:t>
      </w:r>
      <w:r w:rsidR="00AD26EB">
        <w:rPr>
          <w:rFonts w:ascii="Work Sans" w:eastAsia="DengXian Light" w:hAnsi="Work Sans" w:cs="Arial"/>
          <w:sz w:val="20"/>
        </w:rPr>
        <w:t xml:space="preserve">La Jagua, Chiriguaná, Gamarra, La Loma, </w:t>
      </w:r>
      <w:r w:rsidR="00AD26EB" w:rsidRPr="003344CA">
        <w:rPr>
          <w:rFonts w:ascii="Work Sans" w:eastAsia="DengXian Light" w:hAnsi="Work Sans" w:cs="Arial"/>
          <w:sz w:val="20"/>
        </w:rPr>
        <w:t>Santa Marta, Dibulla (Guajira), Barranquilla o Cartagena</w:t>
      </w:r>
      <w:r w:rsidR="00AD26EB" w:rsidRPr="003344CA">
        <w:rPr>
          <w:rFonts w:ascii="Work Sans" w:eastAsia="DengXian Light" w:hAnsi="Work Sans" w:cs="Arial"/>
          <w:sz w:val="20"/>
          <w:szCs w:val="20"/>
          <w:lang w:bidi="ar-SA"/>
        </w:rPr>
        <w:t xml:space="preserve"> </w:t>
      </w:r>
      <w:r w:rsidR="003344CA" w:rsidRPr="003344CA">
        <w:rPr>
          <w:rFonts w:ascii="Work Sans" w:eastAsia="DengXian Light" w:hAnsi="Work Sans" w:cs="Arial"/>
          <w:sz w:val="20"/>
          <w:szCs w:val="20"/>
          <w:lang w:bidi="ar-SA"/>
        </w:rPr>
        <w:t>y su viaje de regreso de estos municipios hacia su lugar de origen.</w:t>
      </w:r>
    </w:p>
    <w:p w14:paraId="7609DA0D" w14:textId="77777777" w:rsidR="003344CA" w:rsidRDefault="003344CA" w:rsidP="003344CA">
      <w:pPr>
        <w:jc w:val="both"/>
        <w:rPr>
          <w:rFonts w:ascii="Work Sans" w:eastAsia="DengXian Light" w:hAnsi="Work Sans" w:cs="Arial"/>
          <w:sz w:val="20"/>
          <w:szCs w:val="20"/>
          <w:lang w:bidi="ar-SA"/>
        </w:rPr>
      </w:pPr>
    </w:p>
    <w:p w14:paraId="72FF12F0" w14:textId="77777777" w:rsidR="003344CA" w:rsidRDefault="003344CA" w:rsidP="003344CA">
      <w:pPr>
        <w:jc w:val="both"/>
        <w:rPr>
          <w:rFonts w:ascii="Work Sans" w:eastAsia="DengXian Light" w:hAnsi="Work Sans" w:cs="Arial"/>
          <w:sz w:val="20"/>
          <w:szCs w:val="20"/>
          <w:lang w:bidi="ar-SA"/>
        </w:rPr>
      </w:pPr>
      <w:r w:rsidRPr="003344CA">
        <w:rPr>
          <w:rFonts w:ascii="Work Sans" w:eastAsia="DengXian Light" w:hAnsi="Work Sans" w:cs="Arial"/>
          <w:b/>
          <w:bCs/>
          <w:sz w:val="20"/>
          <w:szCs w:val="20"/>
          <w:lang w:bidi="ar-SA"/>
        </w:rPr>
        <w:t>Parágrafo 1.</w:t>
      </w:r>
      <w:r w:rsidRPr="003344CA">
        <w:rPr>
          <w:rFonts w:ascii="Work Sans" w:eastAsia="DengXian Light" w:hAnsi="Work Sans" w:cs="Arial"/>
          <w:sz w:val="20"/>
          <w:szCs w:val="20"/>
          <w:lang w:bidi="ar-SA"/>
        </w:rPr>
        <w:t xml:space="preserve"> Únicamente será otorgado el beneficio de la tarifa diferencial a los vehículos de carga para el transporte de carbón térmico o carbón mineral térmico desde Norte de Santander que cumplan con los requisitos establecidos en el artículo 2° de la presente resolución. </w:t>
      </w:r>
      <w:r w:rsidRPr="003344CA">
        <w:rPr>
          <w:rFonts w:ascii="Work Sans" w:eastAsia="DengXian Light" w:hAnsi="Work Sans" w:cs="Arial"/>
          <w:sz w:val="20"/>
          <w:szCs w:val="20"/>
          <w:lang w:bidi="ar-SA"/>
        </w:rPr>
        <w:cr/>
      </w:r>
    </w:p>
    <w:p w14:paraId="3E8688E2" w14:textId="77777777" w:rsidR="003344CA" w:rsidRPr="003344CA" w:rsidRDefault="003344CA" w:rsidP="003344CA">
      <w:pPr>
        <w:jc w:val="both"/>
        <w:rPr>
          <w:rFonts w:ascii="Work Sans" w:eastAsia="DengXian Light" w:hAnsi="Work Sans" w:cs="Arial"/>
          <w:sz w:val="20"/>
          <w:szCs w:val="20"/>
          <w:lang w:bidi="ar-SA"/>
        </w:rPr>
      </w:pPr>
      <w:r w:rsidRPr="003344CA">
        <w:rPr>
          <w:rFonts w:ascii="Work Sans" w:eastAsia="DengXian Light" w:hAnsi="Work Sans" w:cs="Arial"/>
          <w:b/>
          <w:bCs/>
          <w:sz w:val="20"/>
          <w:szCs w:val="20"/>
          <w:lang w:bidi="ar-SA"/>
        </w:rPr>
        <w:t>Parágrafo 2.</w:t>
      </w:r>
      <w:r w:rsidRPr="003344CA">
        <w:rPr>
          <w:rFonts w:ascii="Work Sans" w:eastAsia="DengXian Light" w:hAnsi="Work Sans" w:cs="Arial"/>
          <w:sz w:val="20"/>
          <w:szCs w:val="20"/>
          <w:lang w:bidi="ar-SA"/>
        </w:rPr>
        <w:t xml:space="preserve"> El Manifiesto de Carga será el único medio válido para identificar los beneficiarios.</w:t>
      </w:r>
    </w:p>
    <w:p w14:paraId="4A3E1E24" w14:textId="77777777" w:rsidR="004B7959" w:rsidRDefault="004B7959">
      <w:pPr>
        <w:jc w:val="both"/>
        <w:rPr>
          <w:rFonts w:ascii="Work Sans" w:eastAsia="DengXian Light" w:hAnsi="Work Sans" w:cs="Arial"/>
          <w:color w:val="000000"/>
          <w:sz w:val="20"/>
          <w:szCs w:val="20"/>
          <w:lang w:bidi="ar-SA"/>
        </w:rPr>
      </w:pPr>
    </w:p>
    <w:p w14:paraId="4C173553" w14:textId="77777777" w:rsidR="004B7959" w:rsidRDefault="008353BB" w:rsidP="003344CA">
      <w:pPr>
        <w:jc w:val="both"/>
        <w:rPr>
          <w:rFonts w:ascii="Work Sans" w:eastAsia="DengXian Light" w:hAnsi="Work Sans" w:cs="Arial"/>
          <w:color w:val="000000"/>
          <w:sz w:val="20"/>
          <w:szCs w:val="20"/>
          <w:lang w:bidi="ar-SA"/>
        </w:rPr>
      </w:pPr>
      <w:r>
        <w:rPr>
          <w:rFonts w:ascii="Work Sans" w:hAnsi="Work Sans"/>
          <w:b/>
          <w:bCs/>
          <w:color w:val="000000"/>
          <w:sz w:val="20"/>
          <w:szCs w:val="20"/>
        </w:rPr>
        <w:t>ARTÍCULO 2.-</w:t>
      </w:r>
      <w:r>
        <w:rPr>
          <w:rFonts w:ascii="Work Sans" w:eastAsia="DengXian Light" w:hAnsi="Work Sans" w:cs="Arial"/>
          <w:color w:val="000000"/>
          <w:sz w:val="20"/>
          <w:szCs w:val="20"/>
          <w:lang w:bidi="ar-SA"/>
        </w:rPr>
        <w:t xml:space="preserve"> </w:t>
      </w:r>
      <w:r w:rsidR="003344CA" w:rsidRPr="003344CA">
        <w:rPr>
          <w:rFonts w:ascii="Work Sans" w:eastAsia="DengXian Light" w:hAnsi="Work Sans" w:cs="Arial"/>
          <w:color w:val="000000"/>
          <w:sz w:val="20"/>
          <w:szCs w:val="20"/>
          <w:lang w:bidi="ar-SA"/>
        </w:rPr>
        <w:t xml:space="preserve">Los beneficiarios de la tarifa diferencial en los peajes </w:t>
      </w:r>
      <w:r w:rsidR="009B4CB8">
        <w:rPr>
          <w:rFonts w:ascii="Work Sans" w:eastAsia="DengXian Light" w:hAnsi="Work Sans" w:cs="Arial"/>
          <w:color w:val="000000"/>
          <w:sz w:val="20"/>
          <w:szCs w:val="20"/>
          <w:lang w:bidi="ar-SA"/>
        </w:rPr>
        <w:t>Platanal y Pailitas</w:t>
      </w:r>
      <w:r w:rsidR="003344CA" w:rsidRPr="003344CA">
        <w:rPr>
          <w:rFonts w:ascii="Work Sans" w:eastAsia="DengXian Light" w:hAnsi="Work Sans" w:cs="Arial"/>
          <w:color w:val="000000"/>
          <w:sz w:val="20"/>
          <w:szCs w:val="20"/>
          <w:lang w:bidi="ar-SA"/>
        </w:rPr>
        <w:t>, deberán cumplir con las siguientes condiciones:</w:t>
      </w:r>
    </w:p>
    <w:p w14:paraId="3165A0B9" w14:textId="77777777" w:rsidR="003344CA" w:rsidRDefault="003344CA" w:rsidP="003344CA">
      <w:pPr>
        <w:jc w:val="both"/>
        <w:rPr>
          <w:rFonts w:ascii="Work Sans" w:eastAsia="DengXian Light" w:hAnsi="Work Sans" w:cs="Arial"/>
          <w:color w:val="000000"/>
          <w:sz w:val="20"/>
          <w:szCs w:val="20"/>
          <w:lang w:bidi="ar-SA"/>
        </w:rPr>
      </w:pPr>
    </w:p>
    <w:p w14:paraId="22D39E71" w14:textId="77777777" w:rsidR="003344CA" w:rsidRPr="003344CA" w:rsidRDefault="003344CA" w:rsidP="003344CA">
      <w:pPr>
        <w:pStyle w:val="Prrafodelista"/>
        <w:numPr>
          <w:ilvl w:val="0"/>
          <w:numId w:val="21"/>
        </w:numPr>
        <w:jc w:val="both"/>
        <w:rPr>
          <w:rFonts w:ascii="Work Sans" w:eastAsia="DengXian Light" w:hAnsi="Work Sans" w:cs="Arial"/>
          <w:sz w:val="20"/>
        </w:rPr>
      </w:pPr>
      <w:r w:rsidRPr="003344CA">
        <w:rPr>
          <w:rFonts w:ascii="Work Sans" w:eastAsia="DengXian Light" w:hAnsi="Work Sans" w:cs="Arial"/>
          <w:sz w:val="20"/>
        </w:rPr>
        <w:t xml:space="preserve">CONDICIONES PARA ACCEDER A LA TARIFA DIFERENCIAL </w:t>
      </w:r>
    </w:p>
    <w:p w14:paraId="2B722899" w14:textId="77777777" w:rsidR="003344CA" w:rsidRPr="003344CA" w:rsidRDefault="003344CA" w:rsidP="003344CA">
      <w:pPr>
        <w:ind w:left="360"/>
        <w:jc w:val="both"/>
        <w:rPr>
          <w:rFonts w:ascii="Work Sans" w:eastAsia="DengXian Light" w:hAnsi="Work Sans" w:cs="Arial"/>
          <w:sz w:val="20"/>
        </w:rPr>
      </w:pPr>
    </w:p>
    <w:p w14:paraId="558C3D5D" w14:textId="77777777" w:rsidR="003344CA" w:rsidRDefault="003344CA" w:rsidP="003344CA">
      <w:pPr>
        <w:pStyle w:val="Prrafodelista"/>
        <w:numPr>
          <w:ilvl w:val="0"/>
          <w:numId w:val="22"/>
        </w:numPr>
        <w:jc w:val="both"/>
        <w:rPr>
          <w:rFonts w:ascii="Work Sans" w:eastAsia="DengXian Light" w:hAnsi="Work Sans" w:cs="Arial"/>
          <w:sz w:val="20"/>
        </w:rPr>
      </w:pPr>
      <w:r w:rsidRPr="003344CA">
        <w:rPr>
          <w:rFonts w:ascii="Work Sans" w:eastAsia="DengXian Light" w:hAnsi="Work Sans" w:cs="Arial"/>
          <w:sz w:val="20"/>
        </w:rPr>
        <w:t>Portar la Licencia de tránsito, SOAT y revisión técnico-mecánica vigentes.</w:t>
      </w:r>
    </w:p>
    <w:p w14:paraId="001AF314" w14:textId="77777777" w:rsidR="003344CA" w:rsidRDefault="003344CA" w:rsidP="003344CA">
      <w:pPr>
        <w:pStyle w:val="Prrafodelista"/>
        <w:numPr>
          <w:ilvl w:val="0"/>
          <w:numId w:val="22"/>
        </w:numPr>
        <w:jc w:val="both"/>
        <w:rPr>
          <w:rFonts w:ascii="Work Sans" w:eastAsia="DengXian Light" w:hAnsi="Work Sans" w:cs="Arial"/>
          <w:sz w:val="20"/>
        </w:rPr>
      </w:pPr>
      <w:r w:rsidRPr="003344CA">
        <w:rPr>
          <w:rFonts w:ascii="Work Sans" w:eastAsia="DengXian Light" w:hAnsi="Work Sans" w:cs="Arial"/>
          <w:sz w:val="20"/>
        </w:rPr>
        <w:t xml:space="preserve">Portar el Manifiesto Electrónico de Carga y entregar fotocopia del mismo en el respectivo peaje. El mencionado documento debe incluir el código QR autorizado por el Ministerio de Transporte y señalar que se transporta carbón térmico o carbón mineral térmico desde los municipios de Sardinata, Cúcuta, Zulia y Salazar hacia los municipios de Chiriguaná, La Loma, Santa Marta, Dibulla (Guajira), Barranquilla o Cartagena. </w:t>
      </w:r>
    </w:p>
    <w:p w14:paraId="24EBF506" w14:textId="77777777" w:rsidR="003344CA" w:rsidRDefault="003344CA" w:rsidP="003344CA">
      <w:pPr>
        <w:pStyle w:val="Prrafodelista"/>
        <w:numPr>
          <w:ilvl w:val="0"/>
          <w:numId w:val="22"/>
        </w:numPr>
        <w:jc w:val="both"/>
        <w:rPr>
          <w:rFonts w:ascii="Work Sans" w:eastAsia="DengXian Light" w:hAnsi="Work Sans" w:cs="Arial"/>
          <w:sz w:val="20"/>
        </w:rPr>
      </w:pPr>
      <w:r w:rsidRPr="003344CA">
        <w:rPr>
          <w:rFonts w:ascii="Work Sans" w:eastAsia="DengXian Light" w:hAnsi="Work Sans" w:cs="Arial"/>
          <w:sz w:val="20"/>
        </w:rPr>
        <w:t xml:space="preserve">La descripción de la carga debe ser Carbón Térmico o Carbón Mineral Térmico. </w:t>
      </w:r>
    </w:p>
    <w:p w14:paraId="0B23A7D9" w14:textId="77777777" w:rsidR="003344CA" w:rsidRPr="003344CA" w:rsidRDefault="003344CA" w:rsidP="003344CA">
      <w:pPr>
        <w:pStyle w:val="Prrafodelista"/>
        <w:ind w:left="1080"/>
        <w:jc w:val="both"/>
        <w:rPr>
          <w:rFonts w:ascii="Work Sans" w:eastAsia="DengXian Light" w:hAnsi="Work Sans" w:cs="Arial"/>
          <w:sz w:val="20"/>
        </w:rPr>
      </w:pPr>
      <w:r w:rsidRPr="003344CA">
        <w:rPr>
          <w:rFonts w:ascii="Work Sans" w:eastAsia="DengXian Light" w:hAnsi="Work Sans" w:cs="Arial"/>
          <w:sz w:val="20"/>
        </w:rPr>
        <w:t xml:space="preserve">Para los viajes de regreso los vehículos contarán con tarifa diferencial y deberán presentar la misma documentación mencionada en los numerales anteriores. </w:t>
      </w:r>
    </w:p>
    <w:p w14:paraId="71EAE853" w14:textId="77777777" w:rsidR="003344CA" w:rsidRDefault="003344CA" w:rsidP="003344CA">
      <w:pPr>
        <w:jc w:val="both"/>
        <w:rPr>
          <w:rFonts w:ascii="Work Sans" w:eastAsia="DengXian Light" w:hAnsi="Work Sans" w:cs="Arial"/>
          <w:sz w:val="20"/>
          <w:szCs w:val="20"/>
          <w:lang w:bidi="ar-SA"/>
        </w:rPr>
      </w:pPr>
    </w:p>
    <w:p w14:paraId="5BDFB6B4" w14:textId="77777777" w:rsidR="003344CA" w:rsidRDefault="003344CA" w:rsidP="003344CA">
      <w:pPr>
        <w:pStyle w:val="Prrafodelista"/>
        <w:numPr>
          <w:ilvl w:val="0"/>
          <w:numId w:val="21"/>
        </w:numPr>
        <w:jc w:val="both"/>
        <w:rPr>
          <w:rFonts w:ascii="Work Sans" w:eastAsia="DengXian Light" w:hAnsi="Work Sans" w:cs="Arial"/>
          <w:sz w:val="20"/>
        </w:rPr>
      </w:pPr>
      <w:r w:rsidRPr="003344CA">
        <w:rPr>
          <w:rFonts w:ascii="Work Sans" w:eastAsia="DengXian Light" w:hAnsi="Work Sans" w:cs="Arial"/>
          <w:sz w:val="20"/>
        </w:rPr>
        <w:t>CONTROL</w:t>
      </w:r>
    </w:p>
    <w:p w14:paraId="30710FA7" w14:textId="77777777" w:rsidR="003344CA" w:rsidRPr="003344CA" w:rsidRDefault="003344CA" w:rsidP="003344CA">
      <w:pPr>
        <w:pStyle w:val="Prrafodelista"/>
        <w:ind w:left="720"/>
        <w:jc w:val="both"/>
        <w:rPr>
          <w:rFonts w:ascii="Work Sans" w:eastAsia="DengXian Light" w:hAnsi="Work Sans" w:cs="Arial"/>
          <w:sz w:val="20"/>
        </w:rPr>
      </w:pPr>
    </w:p>
    <w:p w14:paraId="7C724199" w14:textId="77777777" w:rsidR="003344CA" w:rsidRDefault="003344CA" w:rsidP="003344CA">
      <w:pPr>
        <w:pStyle w:val="Prrafodelista"/>
        <w:numPr>
          <w:ilvl w:val="0"/>
          <w:numId w:val="23"/>
        </w:numPr>
        <w:jc w:val="both"/>
        <w:rPr>
          <w:rFonts w:ascii="Work Sans" w:eastAsia="DengXian Light" w:hAnsi="Work Sans" w:cs="Arial"/>
          <w:sz w:val="20"/>
        </w:rPr>
      </w:pPr>
      <w:r w:rsidRPr="003344CA">
        <w:rPr>
          <w:rFonts w:ascii="Work Sans" w:eastAsia="DengXian Light" w:hAnsi="Work Sans" w:cs="Arial"/>
          <w:sz w:val="20"/>
        </w:rPr>
        <w:t xml:space="preserve">Los conductores están en la obligación de entregar una fotocopia del manifiesto de carga en cada uno de los peajes que transiten para obtener el beneficio y el personal del concesionario deberá corroborar que la información que reposa en el mismo corresponde a que movilizan carbón término o carbón mineral térmico desde el departamento de Norte de Santander hacia los municipios de Chiriguaná, La Loma, Santa Marta, Dibulla Guajira), Barranquilla o Cartagena y su viaje de regreso de estos municipios hacia su lugar de origen. </w:t>
      </w:r>
    </w:p>
    <w:p w14:paraId="464B72CF" w14:textId="77777777" w:rsidR="003344CA" w:rsidRDefault="003344CA" w:rsidP="003344CA">
      <w:pPr>
        <w:pStyle w:val="Prrafodelista"/>
        <w:numPr>
          <w:ilvl w:val="0"/>
          <w:numId w:val="23"/>
        </w:numPr>
        <w:jc w:val="both"/>
        <w:rPr>
          <w:rFonts w:ascii="Work Sans" w:eastAsia="DengXian Light" w:hAnsi="Work Sans" w:cs="Arial"/>
          <w:sz w:val="20"/>
        </w:rPr>
      </w:pPr>
      <w:r w:rsidRPr="003344CA">
        <w:rPr>
          <w:rFonts w:ascii="Work Sans" w:eastAsia="DengXian Light" w:hAnsi="Work Sans" w:cs="Arial"/>
          <w:sz w:val="20"/>
        </w:rPr>
        <w:t xml:space="preserve">El generador de la carga debe ser uno de los exportadores de carbón debidamente registrado ante la autoridad competente. </w:t>
      </w:r>
    </w:p>
    <w:p w14:paraId="57803C26" w14:textId="77777777" w:rsidR="003344CA" w:rsidRDefault="003344CA" w:rsidP="003344CA">
      <w:pPr>
        <w:pStyle w:val="Prrafodelista"/>
        <w:ind w:left="1080"/>
        <w:jc w:val="both"/>
        <w:rPr>
          <w:rFonts w:ascii="Work Sans" w:eastAsia="DengXian Light" w:hAnsi="Work Sans" w:cs="Arial"/>
          <w:sz w:val="20"/>
        </w:rPr>
      </w:pPr>
      <w:r w:rsidRPr="003344CA">
        <w:rPr>
          <w:rFonts w:ascii="Work Sans" w:eastAsia="DengXian Light" w:hAnsi="Work Sans" w:cs="Arial"/>
          <w:sz w:val="20"/>
        </w:rPr>
        <w:t>Parágrafo. La vigencia del código QR para acceder al beneficio del 50% de la tarifa diferencial establecida en la presente resolución es de tres (3) días, una vez expedido el manifiesto electrónico de carga.</w:t>
      </w:r>
    </w:p>
    <w:p w14:paraId="6D906C8C" w14:textId="77777777" w:rsidR="003344CA" w:rsidRDefault="003344CA" w:rsidP="003344CA">
      <w:pPr>
        <w:pStyle w:val="Prrafodelista"/>
        <w:ind w:left="1080"/>
        <w:jc w:val="both"/>
        <w:rPr>
          <w:rFonts w:ascii="Work Sans" w:eastAsia="DengXian Light" w:hAnsi="Work Sans" w:cs="Arial"/>
          <w:sz w:val="20"/>
        </w:rPr>
      </w:pPr>
    </w:p>
    <w:p w14:paraId="58A12288" w14:textId="77777777" w:rsidR="004B7959" w:rsidRDefault="008353BB" w:rsidP="003344CA">
      <w:pPr>
        <w:jc w:val="both"/>
        <w:rPr>
          <w:rFonts w:ascii="Work Sans" w:eastAsia="DengXian Light" w:hAnsi="Work Sans" w:cs="Arial"/>
          <w:sz w:val="20"/>
          <w:szCs w:val="20"/>
          <w:lang w:bidi="ar-SA"/>
        </w:rPr>
      </w:pPr>
      <w:r>
        <w:rPr>
          <w:rFonts w:ascii="Work Sans" w:hAnsi="Work Sans"/>
          <w:b/>
          <w:bCs/>
          <w:sz w:val="20"/>
          <w:szCs w:val="20"/>
        </w:rPr>
        <w:t xml:space="preserve">ARTÍCULO 3.- </w:t>
      </w:r>
      <w:r w:rsidR="003344CA" w:rsidRPr="003344CA">
        <w:rPr>
          <w:rFonts w:ascii="Work Sans" w:eastAsia="DengXian Light" w:hAnsi="Work Sans" w:cs="Arial"/>
          <w:sz w:val="20"/>
          <w:szCs w:val="20"/>
          <w:lang w:bidi="ar-SA"/>
        </w:rPr>
        <w:t>Serán causales de pérdida del beneficio de la presente tarifa diferencial:</w:t>
      </w:r>
    </w:p>
    <w:p w14:paraId="38B695FF" w14:textId="77777777" w:rsidR="003344CA" w:rsidRDefault="003344CA" w:rsidP="003344CA">
      <w:pPr>
        <w:jc w:val="both"/>
        <w:rPr>
          <w:rFonts w:ascii="Work Sans" w:eastAsia="DengXian Light" w:hAnsi="Work Sans" w:cs="Arial"/>
          <w:sz w:val="20"/>
          <w:szCs w:val="20"/>
          <w:lang w:bidi="ar-SA"/>
        </w:rPr>
      </w:pPr>
    </w:p>
    <w:p w14:paraId="4FA52244" w14:textId="77777777" w:rsidR="003344CA" w:rsidRPr="003344CA" w:rsidRDefault="003344CA" w:rsidP="003344CA">
      <w:pPr>
        <w:pStyle w:val="Prrafodelista"/>
        <w:numPr>
          <w:ilvl w:val="0"/>
          <w:numId w:val="26"/>
        </w:numPr>
        <w:jc w:val="both"/>
        <w:rPr>
          <w:rFonts w:ascii="Work Sans" w:eastAsia="DengXian Light" w:hAnsi="Work Sans" w:cs="Arial"/>
          <w:sz w:val="20"/>
        </w:rPr>
      </w:pPr>
      <w:r w:rsidRPr="003344CA">
        <w:rPr>
          <w:rFonts w:ascii="Work Sans" w:eastAsia="DengXian Light" w:hAnsi="Work Sans" w:cs="Arial"/>
          <w:sz w:val="20"/>
        </w:rPr>
        <w:t xml:space="preserve">Que el vehículo beneficiario, no transporte carbón térmico, o carbón mineral térmico. </w:t>
      </w:r>
    </w:p>
    <w:p w14:paraId="0D206140" w14:textId="77777777" w:rsidR="003344CA" w:rsidRPr="003344CA" w:rsidRDefault="003344CA" w:rsidP="003344CA">
      <w:pPr>
        <w:pStyle w:val="Prrafodelista"/>
        <w:numPr>
          <w:ilvl w:val="0"/>
          <w:numId w:val="26"/>
        </w:numPr>
        <w:jc w:val="both"/>
        <w:rPr>
          <w:rFonts w:ascii="Work Sans" w:eastAsia="DengXian Light" w:hAnsi="Work Sans" w:cs="Arial"/>
          <w:sz w:val="20"/>
        </w:rPr>
      </w:pPr>
      <w:r w:rsidRPr="003344CA">
        <w:rPr>
          <w:rFonts w:ascii="Work Sans" w:eastAsia="DengXian Light" w:hAnsi="Work Sans" w:cs="Arial"/>
          <w:sz w:val="20"/>
        </w:rPr>
        <w:t xml:space="preserve">Que el vehículo beneficiario no provenga de </w:t>
      </w:r>
      <w:r w:rsidR="009B4CB8">
        <w:rPr>
          <w:rFonts w:ascii="Work Sans" w:eastAsia="DengXian Light" w:hAnsi="Work Sans" w:cs="Arial"/>
          <w:sz w:val="20"/>
        </w:rPr>
        <w:t>l</w:t>
      </w:r>
      <w:r w:rsidRPr="003344CA">
        <w:rPr>
          <w:rFonts w:ascii="Work Sans" w:eastAsia="DengXian Light" w:hAnsi="Work Sans" w:cs="Arial"/>
          <w:sz w:val="20"/>
        </w:rPr>
        <w:t xml:space="preserve">os municipios Sardinata, Cúcuta, Zulia y Salazar, ubicados en el departamento de Norte de Santander. </w:t>
      </w:r>
    </w:p>
    <w:p w14:paraId="2E3F7FDC" w14:textId="77777777" w:rsidR="003344CA" w:rsidRPr="003344CA" w:rsidRDefault="003344CA" w:rsidP="003344CA">
      <w:pPr>
        <w:pStyle w:val="Prrafodelista"/>
        <w:numPr>
          <w:ilvl w:val="0"/>
          <w:numId w:val="26"/>
        </w:numPr>
        <w:jc w:val="both"/>
        <w:rPr>
          <w:rFonts w:ascii="Work Sans" w:eastAsia="DengXian Light" w:hAnsi="Work Sans" w:cs="Arial"/>
          <w:sz w:val="20"/>
        </w:rPr>
      </w:pPr>
      <w:r w:rsidRPr="003344CA">
        <w:rPr>
          <w:rFonts w:ascii="Work Sans" w:eastAsia="DengXian Light" w:hAnsi="Work Sans" w:cs="Arial"/>
          <w:sz w:val="20"/>
        </w:rPr>
        <w:t xml:space="preserve">Que se evidencie fraude o inconsistencias en cualquiera de los documentos aportados. </w:t>
      </w:r>
    </w:p>
    <w:p w14:paraId="5518E9D2" w14:textId="77777777" w:rsidR="003344CA" w:rsidRPr="003344CA" w:rsidRDefault="003344CA" w:rsidP="003344CA">
      <w:pPr>
        <w:pStyle w:val="Prrafodelista"/>
        <w:numPr>
          <w:ilvl w:val="0"/>
          <w:numId w:val="26"/>
        </w:numPr>
        <w:jc w:val="both"/>
        <w:rPr>
          <w:rFonts w:ascii="Work Sans" w:eastAsia="DengXian Light" w:hAnsi="Work Sans" w:cs="Arial"/>
          <w:sz w:val="20"/>
        </w:rPr>
      </w:pPr>
      <w:r w:rsidRPr="003344CA">
        <w:rPr>
          <w:rFonts w:ascii="Work Sans" w:eastAsia="DengXian Light" w:hAnsi="Work Sans" w:cs="Arial"/>
          <w:sz w:val="20"/>
        </w:rPr>
        <w:t xml:space="preserve">Que el vehículo beneficiado se encuentre reportado como evasor de peaje en el territorio Colombiano. </w:t>
      </w:r>
    </w:p>
    <w:p w14:paraId="37CF0165" w14:textId="77777777" w:rsidR="003344CA" w:rsidRDefault="003344CA" w:rsidP="003344CA">
      <w:pPr>
        <w:pStyle w:val="Prrafodelista"/>
        <w:numPr>
          <w:ilvl w:val="0"/>
          <w:numId w:val="26"/>
        </w:numPr>
        <w:jc w:val="both"/>
        <w:rPr>
          <w:rFonts w:ascii="Work Sans" w:eastAsia="DengXian Light" w:hAnsi="Work Sans" w:cs="Arial"/>
          <w:sz w:val="20"/>
        </w:rPr>
      </w:pPr>
      <w:r w:rsidRPr="003344CA">
        <w:rPr>
          <w:rFonts w:ascii="Work Sans" w:eastAsia="DengXian Light" w:hAnsi="Work Sans" w:cs="Arial"/>
          <w:sz w:val="20"/>
        </w:rPr>
        <w:lastRenderedPageBreak/>
        <w:t>No entregar la fotocopia del manifiesto de carga en cada una de las estaciones de peaje a las que se refiere la presente resolución.</w:t>
      </w:r>
    </w:p>
    <w:p w14:paraId="1B754CF2" w14:textId="77777777" w:rsidR="003344CA" w:rsidRDefault="003344CA" w:rsidP="003344CA">
      <w:pPr>
        <w:jc w:val="both"/>
        <w:rPr>
          <w:rFonts w:ascii="Work Sans" w:eastAsia="DengXian Light" w:hAnsi="Work Sans" w:cs="Arial"/>
          <w:sz w:val="20"/>
        </w:rPr>
      </w:pPr>
    </w:p>
    <w:p w14:paraId="7E159DCD" w14:textId="77777777" w:rsidR="003344CA" w:rsidRDefault="003344CA" w:rsidP="003344CA">
      <w:pPr>
        <w:jc w:val="both"/>
        <w:rPr>
          <w:rFonts w:ascii="Work Sans" w:eastAsia="DengXian Light" w:hAnsi="Work Sans" w:cs="Arial"/>
          <w:sz w:val="20"/>
        </w:rPr>
      </w:pPr>
      <w:r w:rsidRPr="003344CA">
        <w:rPr>
          <w:rFonts w:ascii="Work Sans" w:eastAsia="DengXian Light" w:hAnsi="Work Sans" w:cs="Arial"/>
          <w:b/>
          <w:bCs/>
          <w:sz w:val="20"/>
        </w:rPr>
        <w:t>Artículo 4.-</w:t>
      </w:r>
      <w:r w:rsidRPr="003344CA">
        <w:rPr>
          <w:rFonts w:ascii="Work Sans" w:eastAsia="DengXian Light" w:hAnsi="Work Sans" w:cs="Arial"/>
          <w:sz w:val="20"/>
        </w:rPr>
        <w:t xml:space="preserve"> La tarifa diferencial tendrá una vigencia de </w:t>
      </w:r>
      <w:r>
        <w:rPr>
          <w:rFonts w:ascii="Work Sans" w:eastAsia="DengXian Light" w:hAnsi="Work Sans" w:cs="Arial"/>
          <w:sz w:val="20"/>
        </w:rPr>
        <w:t>seis</w:t>
      </w:r>
      <w:r w:rsidRPr="003344CA">
        <w:rPr>
          <w:rFonts w:ascii="Work Sans" w:eastAsia="DengXian Light" w:hAnsi="Work Sans" w:cs="Arial"/>
          <w:sz w:val="20"/>
        </w:rPr>
        <w:t xml:space="preserve"> (</w:t>
      </w:r>
      <w:r>
        <w:rPr>
          <w:rFonts w:ascii="Work Sans" w:eastAsia="DengXian Light" w:hAnsi="Work Sans" w:cs="Arial"/>
          <w:sz w:val="20"/>
        </w:rPr>
        <w:t>6</w:t>
      </w:r>
      <w:r w:rsidRPr="003344CA">
        <w:rPr>
          <w:rFonts w:ascii="Work Sans" w:eastAsia="DengXian Light" w:hAnsi="Work Sans" w:cs="Arial"/>
          <w:sz w:val="20"/>
        </w:rPr>
        <w:t xml:space="preserve">) </w:t>
      </w:r>
      <w:r>
        <w:rPr>
          <w:rFonts w:ascii="Work Sans" w:eastAsia="DengXian Light" w:hAnsi="Work Sans" w:cs="Arial"/>
          <w:sz w:val="20"/>
        </w:rPr>
        <w:t>meses</w:t>
      </w:r>
      <w:r w:rsidRPr="003344CA">
        <w:rPr>
          <w:rFonts w:ascii="Work Sans" w:eastAsia="DengXian Light" w:hAnsi="Work Sans" w:cs="Arial"/>
          <w:sz w:val="20"/>
        </w:rPr>
        <w:t>, contado</w:t>
      </w:r>
      <w:r>
        <w:rPr>
          <w:rFonts w:ascii="Work Sans" w:eastAsia="DengXian Light" w:hAnsi="Work Sans" w:cs="Arial"/>
          <w:sz w:val="20"/>
        </w:rPr>
        <w:t>s</w:t>
      </w:r>
      <w:r w:rsidRPr="003344CA">
        <w:rPr>
          <w:rFonts w:ascii="Work Sans" w:eastAsia="DengXian Light" w:hAnsi="Work Sans" w:cs="Arial"/>
          <w:sz w:val="20"/>
        </w:rPr>
        <w:t xml:space="preserve"> a partir de la publicación del presente acto administrativo y podrá prorrogarse siempre y cuando se mantengan las condiciones que le dieron origen.</w:t>
      </w:r>
    </w:p>
    <w:p w14:paraId="1E53C307" w14:textId="77777777" w:rsidR="003344CA" w:rsidRDefault="003344CA" w:rsidP="003344CA">
      <w:pPr>
        <w:jc w:val="both"/>
        <w:rPr>
          <w:rFonts w:ascii="Work Sans" w:eastAsia="DengXian Light" w:hAnsi="Work Sans" w:cs="Arial"/>
          <w:sz w:val="20"/>
        </w:rPr>
      </w:pPr>
    </w:p>
    <w:p w14:paraId="0E6D9945" w14:textId="77777777" w:rsidR="003344CA" w:rsidRDefault="003344CA" w:rsidP="003344CA">
      <w:pPr>
        <w:jc w:val="both"/>
        <w:rPr>
          <w:rFonts w:ascii="Work Sans" w:eastAsia="DengXian Light" w:hAnsi="Work Sans" w:cs="Arial"/>
          <w:sz w:val="20"/>
        </w:rPr>
      </w:pPr>
      <w:r w:rsidRPr="003344CA">
        <w:rPr>
          <w:rFonts w:ascii="Work Sans" w:eastAsia="DengXian Light" w:hAnsi="Work Sans" w:cs="Arial"/>
          <w:b/>
          <w:bCs/>
          <w:sz w:val="20"/>
        </w:rPr>
        <w:t>Artículo 5.-</w:t>
      </w:r>
      <w:r w:rsidRPr="003344CA">
        <w:rPr>
          <w:rFonts w:ascii="Work Sans" w:eastAsia="DengXian Light" w:hAnsi="Work Sans" w:cs="Arial"/>
          <w:sz w:val="20"/>
        </w:rPr>
        <w:t xml:space="preserve"> La presente resolución rige a partir de su publicación en el Diario Oficial. </w:t>
      </w:r>
      <w:r w:rsidRPr="003344CA">
        <w:rPr>
          <w:rFonts w:ascii="Work Sans" w:eastAsia="DengXian Light" w:hAnsi="Work Sans" w:cs="Arial"/>
          <w:sz w:val="20"/>
        </w:rPr>
        <w:cr/>
      </w:r>
    </w:p>
    <w:p w14:paraId="1D9DA89C" w14:textId="77777777" w:rsidR="003344CA" w:rsidRDefault="003344CA" w:rsidP="003344CA">
      <w:pPr>
        <w:jc w:val="both"/>
        <w:rPr>
          <w:rFonts w:ascii="Work Sans" w:eastAsia="DengXian Light" w:hAnsi="Work Sans" w:cs="Arial"/>
          <w:sz w:val="20"/>
        </w:rPr>
      </w:pPr>
      <w:r>
        <w:rPr>
          <w:rFonts w:ascii="Work Sans" w:eastAsia="DengXian Light" w:hAnsi="Work Sans" w:cs="Arial"/>
          <w:sz w:val="20"/>
        </w:rPr>
        <w:t xml:space="preserve">Dada en Bogotá, D.C., a los </w:t>
      </w:r>
    </w:p>
    <w:p w14:paraId="445A3985" w14:textId="77777777" w:rsidR="003344CA" w:rsidRPr="003344CA" w:rsidRDefault="003344CA" w:rsidP="003344CA">
      <w:pPr>
        <w:jc w:val="both"/>
        <w:rPr>
          <w:rFonts w:ascii="Work Sans" w:eastAsia="DengXian Light" w:hAnsi="Work Sans" w:cs="Arial"/>
          <w:sz w:val="20"/>
        </w:rPr>
      </w:pPr>
    </w:p>
    <w:p w14:paraId="545D7CC8" w14:textId="77777777" w:rsidR="004B7959" w:rsidRPr="003344CA" w:rsidRDefault="004B7959" w:rsidP="003344CA">
      <w:pPr>
        <w:pStyle w:val="Prrafodelista"/>
        <w:ind w:left="720"/>
        <w:jc w:val="both"/>
        <w:rPr>
          <w:rFonts w:ascii="Work Sans" w:eastAsia="DengXian Light" w:hAnsi="Work Sans" w:cs="Arial"/>
          <w:sz w:val="20"/>
        </w:rPr>
      </w:pPr>
    </w:p>
    <w:p w14:paraId="2188D9DA" w14:textId="77777777" w:rsidR="004B7959" w:rsidRDefault="008353BB">
      <w:pPr>
        <w:pStyle w:val="Standard"/>
        <w:autoSpaceDE w:val="0"/>
        <w:jc w:val="center"/>
      </w:pPr>
      <w:r>
        <w:rPr>
          <w:rFonts w:ascii="Work Sans" w:hAnsi="Work Sans" w:cs="Times New Roman"/>
          <w:b/>
          <w:bCs/>
          <w:sz w:val="20"/>
        </w:rPr>
        <w:t>PUBLÍQUESE Y CÚMPLASE,</w:t>
      </w:r>
    </w:p>
    <w:p w14:paraId="1A1A47D4" w14:textId="77777777" w:rsidR="004B7959" w:rsidRDefault="004B7959">
      <w:pPr>
        <w:pStyle w:val="Standard"/>
        <w:autoSpaceDE w:val="0"/>
        <w:jc w:val="center"/>
        <w:rPr>
          <w:rFonts w:ascii="Work Sans" w:hAnsi="Work Sans" w:cs="Times New Roman"/>
          <w:sz w:val="20"/>
        </w:rPr>
      </w:pPr>
    </w:p>
    <w:p w14:paraId="7D425C5D" w14:textId="77777777" w:rsidR="004B7959" w:rsidRDefault="004B7959">
      <w:pPr>
        <w:tabs>
          <w:tab w:val="left" w:pos="0"/>
        </w:tabs>
        <w:jc w:val="both"/>
        <w:rPr>
          <w:rFonts w:ascii="Work Sans" w:hAnsi="Work Sans"/>
          <w:sz w:val="20"/>
          <w:szCs w:val="20"/>
        </w:rPr>
      </w:pPr>
    </w:p>
    <w:p w14:paraId="75DE5F82" w14:textId="77777777" w:rsidR="004B7959" w:rsidRDefault="008353BB">
      <w:pPr>
        <w:pStyle w:val="Standard"/>
        <w:autoSpaceDE w:val="0"/>
        <w:ind w:left="-142" w:right="-86"/>
        <w:jc w:val="center"/>
        <w:rPr>
          <w:rFonts w:ascii="Work Sans" w:hAnsi="Work Sans" w:cs="Arial"/>
          <w:sz w:val="21"/>
          <w:szCs w:val="21"/>
          <w:lang w:val="es-CO"/>
        </w:rPr>
      </w:pPr>
      <w:r>
        <w:rPr>
          <w:rFonts w:ascii="Work Sans" w:hAnsi="Work Sans" w:cs="Arial"/>
          <w:sz w:val="21"/>
          <w:szCs w:val="21"/>
          <w:lang w:val="es-CO"/>
        </w:rPr>
        <w:t>${firma}</w:t>
      </w:r>
    </w:p>
    <w:p w14:paraId="6F02E4A7" w14:textId="77777777" w:rsidR="004B7959" w:rsidRDefault="004B7959">
      <w:pPr>
        <w:tabs>
          <w:tab w:val="left" w:pos="0"/>
        </w:tabs>
        <w:jc w:val="center"/>
        <w:rPr>
          <w:rFonts w:ascii="Work Sans" w:hAnsi="Work Sans" w:cs="Times New Roman"/>
          <w:sz w:val="20"/>
          <w:szCs w:val="20"/>
          <w:lang w:eastAsia="es-ES"/>
        </w:rPr>
      </w:pPr>
    </w:p>
    <w:p w14:paraId="5D0AC032" w14:textId="77777777" w:rsidR="004B7959" w:rsidRDefault="004B7959">
      <w:pPr>
        <w:tabs>
          <w:tab w:val="left" w:pos="0"/>
        </w:tabs>
        <w:jc w:val="center"/>
        <w:rPr>
          <w:rFonts w:ascii="Work Sans" w:hAnsi="Work Sans" w:cs="Times New Roman"/>
          <w:sz w:val="20"/>
          <w:szCs w:val="20"/>
          <w:lang w:eastAsia="es-ES"/>
        </w:rPr>
      </w:pPr>
    </w:p>
    <w:p w14:paraId="007C1CCD" w14:textId="77777777" w:rsidR="004B7959" w:rsidRDefault="004B7959">
      <w:pPr>
        <w:tabs>
          <w:tab w:val="left" w:pos="0"/>
        </w:tabs>
        <w:jc w:val="both"/>
        <w:rPr>
          <w:rFonts w:ascii="Work Sans" w:hAnsi="Work Sans" w:cs="Times New Roman"/>
          <w:sz w:val="20"/>
          <w:szCs w:val="20"/>
          <w:lang w:eastAsia="es-ES"/>
        </w:rPr>
      </w:pPr>
    </w:p>
    <w:p w14:paraId="3469A7C2" w14:textId="77777777" w:rsidR="004B7959" w:rsidRDefault="003344CA">
      <w:pPr>
        <w:jc w:val="center"/>
        <w:rPr>
          <w:rFonts w:ascii="Work Sans" w:hAnsi="Work Sans" w:cs="Times New Roman"/>
          <w:b/>
          <w:sz w:val="20"/>
          <w:szCs w:val="20"/>
          <w:lang w:eastAsia="es-ES"/>
        </w:rPr>
      </w:pPr>
      <w:r>
        <w:rPr>
          <w:rFonts w:ascii="Work Sans" w:hAnsi="Work Sans" w:cs="Times New Roman"/>
          <w:b/>
          <w:sz w:val="20"/>
          <w:szCs w:val="20"/>
          <w:lang w:eastAsia="es-ES"/>
        </w:rPr>
        <w:t>GUILLERMO FRANCISCO REYES GONZÁLEZ</w:t>
      </w:r>
    </w:p>
    <w:p w14:paraId="54559BA9" w14:textId="77777777" w:rsidR="004B7959" w:rsidRDefault="004B7959">
      <w:pPr>
        <w:pStyle w:val="Standard"/>
        <w:rPr>
          <w:b/>
          <w:lang w:val="es-CO"/>
        </w:rPr>
      </w:pPr>
    </w:p>
    <w:p w14:paraId="73419418" w14:textId="77777777" w:rsidR="004B7959" w:rsidRDefault="004B7959">
      <w:pPr>
        <w:pStyle w:val="Standard"/>
        <w:rPr>
          <w:rFonts w:ascii="Work Sans" w:hAnsi="Work Sans" w:cs="Arial"/>
          <w:sz w:val="12"/>
          <w:szCs w:val="12"/>
          <w:lang w:eastAsia="es-CO" w:bidi="hi-IN"/>
        </w:rPr>
      </w:pPr>
    </w:p>
    <w:p w14:paraId="35DB623E" w14:textId="77777777" w:rsidR="004B7959" w:rsidRDefault="009B4CB8">
      <w:pPr>
        <w:pStyle w:val="Standard"/>
        <w:rPr>
          <w:rFonts w:ascii="Work Sans" w:hAnsi="Work Sans" w:cs="Arial"/>
          <w:sz w:val="12"/>
          <w:szCs w:val="12"/>
          <w:lang w:eastAsia="es-CO" w:bidi="hi-IN"/>
        </w:rPr>
      </w:pPr>
      <w:r w:rsidRPr="00AB7791">
        <w:rPr>
          <w:rFonts w:ascii="Work Sans" w:hAnsi="Work Sans" w:cs="Arial"/>
          <w:sz w:val="12"/>
          <w:szCs w:val="12"/>
          <w:lang w:eastAsia="es-CO" w:bidi="hi-IN"/>
        </w:rPr>
        <w:t xml:space="preserve">William Fernando Camargo Triana </w:t>
      </w:r>
      <w:r w:rsidR="008353BB">
        <w:rPr>
          <w:rFonts w:ascii="Work Sans" w:hAnsi="Work Sans" w:cs="Arial"/>
          <w:sz w:val="12"/>
          <w:szCs w:val="12"/>
          <w:lang w:eastAsia="es-CO" w:bidi="hi-IN"/>
        </w:rPr>
        <w:t xml:space="preserve">– </w:t>
      </w:r>
      <w:r w:rsidR="00AB7791">
        <w:rPr>
          <w:rFonts w:ascii="Work Sans" w:hAnsi="Work Sans" w:cs="Arial"/>
          <w:sz w:val="12"/>
          <w:szCs w:val="12"/>
          <w:lang w:eastAsia="es-CO" w:bidi="hi-IN"/>
        </w:rPr>
        <w:t>Presidente Agencia Nacional de Infraestructura - ANI</w:t>
      </w:r>
    </w:p>
    <w:p w14:paraId="3C54B260" w14:textId="77777777" w:rsidR="004B7959" w:rsidRDefault="008353BB">
      <w:pPr>
        <w:pStyle w:val="Standard"/>
        <w:rPr>
          <w:rFonts w:ascii="Work Sans" w:hAnsi="Work Sans" w:cs="Arial"/>
          <w:sz w:val="12"/>
          <w:szCs w:val="12"/>
          <w:lang w:eastAsia="es-CO" w:bidi="hi-IN"/>
        </w:rPr>
      </w:pPr>
      <w:r>
        <w:rPr>
          <w:rFonts w:ascii="Work Sans" w:hAnsi="Work Sans" w:cs="Arial"/>
          <w:sz w:val="12"/>
          <w:szCs w:val="12"/>
          <w:lang w:eastAsia="es-CO" w:bidi="hi-IN"/>
        </w:rPr>
        <w:t>Oscar David Gómez Pineda– Asesor Despacho del Ministro, Ministerio de Transporte</w:t>
      </w:r>
    </w:p>
    <w:p w14:paraId="184BDC27" w14:textId="77777777" w:rsidR="004B7959" w:rsidRDefault="008353BB">
      <w:pPr>
        <w:pStyle w:val="Standard"/>
        <w:rPr>
          <w:rFonts w:ascii="Work Sans" w:hAnsi="Work Sans" w:cs="Arial"/>
          <w:sz w:val="12"/>
          <w:szCs w:val="12"/>
          <w:lang w:eastAsia="es-CO" w:bidi="hi-IN"/>
        </w:rPr>
      </w:pPr>
      <w:r>
        <w:rPr>
          <w:rFonts w:ascii="Work Sans" w:hAnsi="Work Sans" w:cs="Arial"/>
          <w:sz w:val="12"/>
          <w:szCs w:val="12"/>
          <w:lang w:eastAsia="es-CO" w:bidi="hi-IN"/>
        </w:rPr>
        <w:t>Andrés Felipe Fernández Rocha - Jefe Oficina Asesora de Jurídica, Ministerio de Transporte</w:t>
      </w:r>
    </w:p>
    <w:p w14:paraId="31497E63" w14:textId="77777777" w:rsidR="004B7959" w:rsidRDefault="008353BB">
      <w:pPr>
        <w:pStyle w:val="Standard"/>
        <w:rPr>
          <w:rFonts w:ascii="Work Sans" w:hAnsi="Work Sans" w:cs="Arial"/>
          <w:sz w:val="12"/>
          <w:szCs w:val="12"/>
          <w:lang w:eastAsia="es-CO" w:bidi="hi-IN"/>
        </w:rPr>
      </w:pPr>
      <w:r>
        <w:rPr>
          <w:rFonts w:ascii="Work Sans" w:hAnsi="Work Sans" w:cs="Arial"/>
          <w:sz w:val="12"/>
          <w:szCs w:val="12"/>
          <w:lang w:eastAsia="es-CO" w:bidi="hi-IN"/>
        </w:rPr>
        <w:t>Julián Soto Ocampo– Jefe de Oficina de Regulación Económica, Ministerio de Transporte</w:t>
      </w:r>
    </w:p>
    <w:p w14:paraId="6B827AF9" w14:textId="77777777" w:rsidR="004B7959" w:rsidRDefault="008353BB">
      <w:pPr>
        <w:pStyle w:val="Standard"/>
        <w:rPr>
          <w:rFonts w:ascii="Work Sans" w:hAnsi="Work Sans" w:cs="Arial"/>
          <w:sz w:val="12"/>
          <w:szCs w:val="12"/>
          <w:lang w:eastAsia="es-CO" w:bidi="hi-IN"/>
        </w:rPr>
      </w:pPr>
      <w:r>
        <w:rPr>
          <w:rFonts w:ascii="Work Sans" w:hAnsi="Work Sans" w:cs="Arial"/>
          <w:sz w:val="12"/>
          <w:szCs w:val="12"/>
          <w:lang w:eastAsia="es-CO" w:bidi="hi-IN"/>
        </w:rPr>
        <w:t>Daniela Benavides Nastar – Abogada Grupo de Conceptos y Apoyo Legal – Ministerio de Transporte</w:t>
      </w:r>
    </w:p>
    <w:p w14:paraId="07B48897" w14:textId="77777777" w:rsidR="004B7959" w:rsidRDefault="004B7959">
      <w:pPr>
        <w:widowControl/>
      </w:pPr>
    </w:p>
    <w:sectPr w:rsidR="004B7959">
      <w:headerReference w:type="default" r:id="rId11"/>
      <w:pgSz w:w="12247" w:h="18711"/>
      <w:pgMar w:top="1418" w:right="1701" w:bottom="567" w:left="1985" w:header="851" w:footer="720" w:gutter="0"/>
      <w:pgBorders>
        <w:top w:val="single" w:sz="4" w:space="15" w:color="000000"/>
        <w:left w:val="single" w:sz="4" w:space="15" w:color="000000"/>
        <w:bottom w:val="single" w:sz="4" w:space="15" w:color="000000"/>
        <w:right w:val="single" w:sz="4" w:space="15" w:color="000000"/>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8699C4" w14:textId="77777777" w:rsidR="000C6001" w:rsidRDefault="000C6001">
      <w:r>
        <w:separator/>
      </w:r>
    </w:p>
  </w:endnote>
  <w:endnote w:type="continuationSeparator" w:id="0">
    <w:p w14:paraId="384054FA" w14:textId="77777777" w:rsidR="000C6001" w:rsidRDefault="000C60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0"/>
    <w:family w:val="roman"/>
    <w:pitch w:val="variable"/>
  </w:font>
  <w:font w:name="Lohit Devanagari">
    <w:altName w:val="Calibri"/>
    <w:charset w:val="00"/>
    <w:family w:val="auto"/>
    <w:pitch w:val="variable"/>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angal">
    <w:panose1 w:val="00000400000000000000"/>
    <w:charset w:val="00"/>
    <w:family w:val="roman"/>
    <w:pitch w:val="variable"/>
    <w:sig w:usb0="00008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ourier">
    <w:panose1 w:val="02070409020205020404"/>
    <w:charset w:val="00"/>
    <w:family w:val="modern"/>
    <w:pitch w:val="fixed"/>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Work Sans">
    <w:panose1 w:val="00000500000000000000"/>
    <w:charset w:val="00"/>
    <w:family w:val="auto"/>
    <w:pitch w:val="variable"/>
    <w:sig w:usb0="00000007" w:usb1="00000001" w:usb2="00000000" w:usb3="00000000" w:csb0="00000093" w:csb1="00000000"/>
  </w:font>
  <w:font w:name="DengXian Light">
    <w:charset w:val="86"/>
    <w:family w:val="auto"/>
    <w:pitch w:val="variable"/>
    <w:sig w:usb0="A00002BF" w:usb1="38CF7CFA" w:usb2="00000016" w:usb3="00000000" w:csb0="0004000F" w:csb1="00000000"/>
  </w:font>
  <w:font w:name="Arial Unicode MS">
    <w:panose1 w:val="020B0604020202020204"/>
    <w:charset w:val="00"/>
    <w:family w:val="roman"/>
    <w:pitch w:val="variable"/>
    <w:sig w:usb0="00000003" w:usb1="00000000" w:usb2="00000000" w:usb3="00000000" w:csb0="00000001" w:csb1="00000000"/>
  </w:font>
  <w:font w:name="Code3of9">
    <w:panose1 w:val="00000000000000000000"/>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E8AC26" w14:textId="77777777" w:rsidR="000C6001" w:rsidRDefault="000C6001">
      <w:r>
        <w:rPr>
          <w:color w:val="000000"/>
        </w:rPr>
        <w:separator/>
      </w:r>
    </w:p>
  </w:footnote>
  <w:footnote w:type="continuationSeparator" w:id="0">
    <w:p w14:paraId="0B9CD43B" w14:textId="77777777" w:rsidR="000C6001" w:rsidRDefault="000C600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D63472" w14:textId="77777777" w:rsidR="0023207B" w:rsidRDefault="008353BB">
    <w:r>
      <w:rPr>
        <w:noProof/>
        <w:lang w:val="es-CO" w:eastAsia="es-CO" w:bidi="ar-SA"/>
      </w:rPr>
      <w:drawing>
        <wp:inline distT="0" distB="0" distL="0" distR="0" wp14:anchorId="4CFCBD13" wp14:editId="16EE65EF">
          <wp:extent cx="2163964" cy="320040"/>
          <wp:effectExtent l="0" t="0" r="7736" b="3810"/>
          <wp:docPr id="1"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2163964" cy="320040"/>
                  </a:xfrm>
                  <a:prstGeom prst="rect">
                    <a:avLst/>
                  </a:prstGeom>
                  <a:noFill/>
                  <a:ln>
                    <a:noFill/>
                    <a:prstDash/>
                  </a:ln>
                </pic:spPr>
              </pic:pic>
            </a:graphicData>
          </a:graphic>
        </wp:inline>
      </w:drawing>
    </w:r>
  </w:p>
  <w:p w14:paraId="7FA6E42F" w14:textId="77777777" w:rsidR="0023207B" w:rsidRDefault="008353BB">
    <w:pPr>
      <w:pStyle w:val="Encabezado"/>
      <w:jc w:val="center"/>
    </w:pPr>
    <w:r>
      <w:rPr>
        <w:rFonts w:ascii="Work Sans" w:hAnsi="Work Sans" w:cs="Arial"/>
        <w:b/>
      </w:rPr>
      <w:t>RESOLUCIÓN NÚMERO</w:t>
    </w:r>
    <w:r>
      <w:rPr>
        <w:rFonts w:ascii="Work Sans" w:hAnsi="Work Sans" w:cs="Arial"/>
        <w:b/>
        <w:sz w:val="36"/>
      </w:rPr>
      <w:t xml:space="preserve"> </w:t>
    </w:r>
  </w:p>
  <w:p w14:paraId="408CD90F" w14:textId="77777777" w:rsidR="0023207B" w:rsidRDefault="008353BB">
    <w:pPr>
      <w:pStyle w:val="Encabezado"/>
      <w:jc w:val="center"/>
    </w:pPr>
    <w:r>
      <w:rPr>
        <w:rFonts w:ascii="Work Sans" w:hAnsi="Work Sans"/>
        <w:sz w:val="20"/>
      </w:rPr>
      <w:t>de 1</w:t>
    </w:r>
    <w:r w:rsidR="00742D27">
      <w:rPr>
        <w:rFonts w:ascii="Work Sans" w:hAnsi="Work Sans"/>
        <w:sz w:val="20"/>
      </w:rPr>
      <w:t>4</w:t>
    </w:r>
    <w:r>
      <w:rPr>
        <w:rFonts w:ascii="Work Sans" w:hAnsi="Work Sans"/>
        <w:sz w:val="20"/>
      </w:rPr>
      <w:t xml:space="preserve"> de marzo de 2023</w:t>
    </w:r>
  </w:p>
  <w:p w14:paraId="766FE332" w14:textId="77777777" w:rsidR="0023207B" w:rsidRDefault="008353BB">
    <w:pPr>
      <w:pStyle w:val="Encabezado"/>
      <w:jc w:val="center"/>
      <w:rPr>
        <w:rFonts w:ascii="Code3of9" w:hAnsi="Code3of9" w:cs="Tahoma"/>
        <w:sz w:val="36"/>
        <w:szCs w:val="40"/>
      </w:rPr>
    </w:pPr>
    <w:r>
      <w:rPr>
        <w:rFonts w:ascii="Code3of9" w:hAnsi="Code3of9" w:cs="Tahoma"/>
        <w:sz w:val="36"/>
        <w:szCs w:val="40"/>
      </w:rPr>
      <w:t>*2*</w:t>
    </w:r>
  </w:p>
  <w:p w14:paraId="3D6BF1B2" w14:textId="77777777" w:rsidR="0023207B" w:rsidRDefault="00397F89">
    <w:pPr>
      <w:pStyle w:val="Encabezado"/>
      <w:jc w:val="center"/>
      <w:rPr>
        <w:rFonts w:ascii="Code3of9" w:hAnsi="Code3of9" w:cs="Tahoma"/>
        <w:i/>
        <w:color w:val="000000"/>
      </w:rPr>
    </w:pPr>
  </w:p>
  <w:p w14:paraId="71240F4E" w14:textId="77777777" w:rsidR="0023207B" w:rsidRDefault="008353BB">
    <w:pPr>
      <w:widowControl/>
      <w:jc w:val="center"/>
      <w:textAlignment w:val="auto"/>
    </w:pPr>
    <w:r>
      <w:rPr>
        <w:rFonts w:ascii="Work Sans" w:eastAsia="DengXian Light" w:hAnsi="Work Sans" w:cs="Arial"/>
        <w:i/>
        <w:color w:val="000000"/>
        <w:sz w:val="20"/>
        <w:szCs w:val="20"/>
        <w:lang w:bidi="ar-SA"/>
      </w:rPr>
      <w:t xml:space="preserve">“Por la cual </w:t>
    </w:r>
    <w:r>
      <w:rPr>
        <w:rFonts w:ascii="Work Sans" w:eastAsia="DengXian Light" w:hAnsi="Work Sans" w:cs="Arial"/>
        <w:i/>
        <w:color w:val="221E1F"/>
        <w:sz w:val="20"/>
        <w:szCs w:val="20"/>
        <w:lang w:bidi="ar-SA"/>
      </w:rPr>
      <w:t xml:space="preserve">se establece una tarifa diferencial en las estaciones de peaje denominadas </w:t>
    </w:r>
    <w:r w:rsidR="00DB7B90">
      <w:rPr>
        <w:rFonts w:ascii="Work Sans" w:eastAsia="DengXian Light" w:hAnsi="Work Sans" w:cs="Arial"/>
        <w:i/>
        <w:color w:val="221E1F"/>
        <w:sz w:val="20"/>
        <w:szCs w:val="20"/>
        <w:lang w:bidi="ar-SA"/>
      </w:rPr>
      <w:t>Platanal</w:t>
    </w:r>
    <w:r w:rsidR="009D5CF1">
      <w:rPr>
        <w:rFonts w:ascii="Work Sans" w:eastAsia="DengXian Light" w:hAnsi="Work Sans" w:cs="Arial"/>
        <w:i/>
        <w:color w:val="221E1F"/>
        <w:sz w:val="20"/>
        <w:szCs w:val="20"/>
        <w:lang w:bidi="ar-SA"/>
      </w:rPr>
      <w:t xml:space="preserve"> </w:t>
    </w:r>
    <w:r w:rsidR="00DB7B90">
      <w:rPr>
        <w:rFonts w:ascii="Work Sans" w:eastAsia="DengXian Light" w:hAnsi="Work Sans" w:cs="Arial"/>
        <w:i/>
        <w:color w:val="221E1F"/>
        <w:sz w:val="20"/>
        <w:szCs w:val="20"/>
        <w:lang w:bidi="ar-SA"/>
      </w:rPr>
      <w:t xml:space="preserve">y </w:t>
    </w:r>
    <w:r w:rsidR="009D5CF1">
      <w:rPr>
        <w:rFonts w:ascii="Work Sans" w:eastAsia="DengXian Light" w:hAnsi="Work Sans" w:cs="Arial"/>
        <w:i/>
        <w:color w:val="221E1F"/>
        <w:sz w:val="20"/>
        <w:szCs w:val="20"/>
        <w:lang w:bidi="ar-SA"/>
      </w:rPr>
      <w:t>P</w:t>
    </w:r>
    <w:r w:rsidR="00DB7B90">
      <w:rPr>
        <w:rFonts w:ascii="Work Sans" w:eastAsia="DengXian Light" w:hAnsi="Work Sans" w:cs="Arial"/>
        <w:i/>
        <w:color w:val="221E1F"/>
        <w:sz w:val="20"/>
        <w:szCs w:val="20"/>
        <w:lang w:bidi="ar-SA"/>
      </w:rPr>
      <w:t>ailitas”</w:t>
    </w:r>
  </w:p>
  <w:p w14:paraId="0F6C14C8" w14:textId="77777777" w:rsidR="0023207B" w:rsidRDefault="008353BB">
    <w:pPr>
      <w:widowControl/>
      <w:jc w:val="both"/>
      <w:textAlignment w:val="auto"/>
      <w:rPr>
        <w:rFonts w:ascii="Verdana" w:hAnsi="Verdana" w:cs="Times New Roman"/>
        <w:i/>
        <w:color w:val="221E1F"/>
        <w:kern w:val="0"/>
        <w:sz w:val="20"/>
        <w:szCs w:val="20"/>
        <w:lang w:val="es" w:eastAsia="en-US" w:bidi="ar-SA"/>
      </w:rPr>
    </w:pPr>
    <w:r>
      <w:rPr>
        <w:rFonts w:ascii="Verdana" w:hAnsi="Verdana" w:cs="Times New Roman"/>
        <w:i/>
        <w:color w:val="221E1F"/>
        <w:kern w:val="0"/>
        <w:sz w:val="20"/>
        <w:szCs w:val="20"/>
        <w:lang w:val="es" w:eastAsia="en-US" w:bidi="ar-SA"/>
      </w:rPr>
      <w:t> </w:t>
    </w:r>
  </w:p>
  <w:p w14:paraId="4065F06F" w14:textId="77777777" w:rsidR="0023207B" w:rsidRDefault="00397F89">
    <w:pPr>
      <w:widowControl/>
      <w:jc w:val="both"/>
      <w:textAlignment w:val="auto"/>
      <w:rPr>
        <w:rFonts w:ascii="Times New Roman" w:hAnsi="Times New Roman" w:cs="Times New Roman"/>
        <w:i/>
        <w:color w:val="000000"/>
        <w:kern w:val="0"/>
        <w:sz w:val="20"/>
        <w:szCs w:val="20"/>
        <w:lang w:val="es" w:eastAsia="en-US" w:bidi="ar-S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A93B69"/>
    <w:multiLevelType w:val="multilevel"/>
    <w:tmpl w:val="E542B662"/>
    <w:styleLink w:val="WW8Num4"/>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 w15:restartNumberingAfterBreak="0">
    <w:nsid w:val="07B14FA8"/>
    <w:multiLevelType w:val="hybridMultilevel"/>
    <w:tmpl w:val="519668E6"/>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86C39CB"/>
    <w:multiLevelType w:val="multilevel"/>
    <w:tmpl w:val="9E4C4CBE"/>
    <w:styleLink w:val="WW8Num15"/>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3" w15:restartNumberingAfterBreak="0">
    <w:nsid w:val="0F462E67"/>
    <w:multiLevelType w:val="multilevel"/>
    <w:tmpl w:val="DB9A2006"/>
    <w:styleLink w:val="WW8Num10"/>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4" w15:restartNumberingAfterBreak="0">
    <w:nsid w:val="131B1F03"/>
    <w:multiLevelType w:val="multilevel"/>
    <w:tmpl w:val="E8D25A8C"/>
    <w:styleLink w:val="WW8Num11"/>
    <w:lvl w:ilvl="0">
      <w:start w:val="12"/>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5" w15:restartNumberingAfterBreak="0">
    <w:nsid w:val="14966343"/>
    <w:multiLevelType w:val="multilevel"/>
    <w:tmpl w:val="A1943F26"/>
    <w:styleLink w:val="WW8Num3"/>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6" w15:restartNumberingAfterBreak="0">
    <w:nsid w:val="157E2A89"/>
    <w:multiLevelType w:val="hybridMultilevel"/>
    <w:tmpl w:val="534284FE"/>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18BC0EB1"/>
    <w:multiLevelType w:val="multilevel"/>
    <w:tmpl w:val="813099E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D987F51"/>
    <w:multiLevelType w:val="hybridMultilevel"/>
    <w:tmpl w:val="0436EDE0"/>
    <w:lvl w:ilvl="0" w:tplc="06D442AA">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2B547157"/>
    <w:multiLevelType w:val="multilevel"/>
    <w:tmpl w:val="D836096A"/>
    <w:styleLink w:val="WW8Num6"/>
    <w:lvl w:ilvl="0">
      <w:start w:val="1"/>
      <w:numFmt w:val="decimal"/>
      <w:pStyle w:val="titulotres"/>
      <w:lvlText w:val="%1"/>
      <w:lvlJc w:val="left"/>
      <w:rPr>
        <w:rFonts w:cs="Times New Roman"/>
      </w:rPr>
    </w:lvl>
    <w:lvl w:ilvl="1">
      <w:start w:val="4"/>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0" w15:restartNumberingAfterBreak="0">
    <w:nsid w:val="2F9D653D"/>
    <w:multiLevelType w:val="hybridMultilevel"/>
    <w:tmpl w:val="E10AC8CA"/>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35C04F6A"/>
    <w:multiLevelType w:val="multilevel"/>
    <w:tmpl w:val="98127184"/>
    <w:styleLink w:val="WW8Num5"/>
    <w:lvl w:ilvl="0">
      <w:start w:val="1"/>
      <w:numFmt w:val="decimal"/>
      <w:lvlText w:val="%1."/>
      <w:lvlJc w:val="left"/>
      <w:rPr>
        <w:rFonts w:cs="Times New Roman"/>
        <w:b w:val="0"/>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2" w15:restartNumberingAfterBreak="0">
    <w:nsid w:val="36AD5393"/>
    <w:multiLevelType w:val="multilevel"/>
    <w:tmpl w:val="D9B81748"/>
    <w:styleLink w:val="WW8Num7"/>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3" w15:restartNumberingAfterBreak="0">
    <w:nsid w:val="3A951FD3"/>
    <w:multiLevelType w:val="multilevel"/>
    <w:tmpl w:val="57EC594A"/>
    <w:styleLink w:val="WW8Num14"/>
    <w:lvl w:ilvl="0">
      <w:start w:val="1"/>
      <w:numFmt w:val="decimal"/>
      <w:lvlText w:val="%1."/>
      <w:lvlJc w:val="left"/>
      <w:rPr>
        <w:rFonts w:cs="Times New Roman"/>
        <w:b w:val="0"/>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4" w15:restartNumberingAfterBreak="0">
    <w:nsid w:val="3AF03A89"/>
    <w:multiLevelType w:val="multilevel"/>
    <w:tmpl w:val="BC28EC0E"/>
    <w:styleLink w:val="WW8Num13"/>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5" w15:restartNumberingAfterBreak="0">
    <w:nsid w:val="40054F77"/>
    <w:multiLevelType w:val="multilevel"/>
    <w:tmpl w:val="8632C46A"/>
    <w:styleLink w:val="WW8Num17"/>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6" w15:restartNumberingAfterBreak="0">
    <w:nsid w:val="45B21323"/>
    <w:multiLevelType w:val="hybridMultilevel"/>
    <w:tmpl w:val="B84AA774"/>
    <w:lvl w:ilvl="0" w:tplc="97A64238">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47A54FCA"/>
    <w:multiLevelType w:val="multilevel"/>
    <w:tmpl w:val="68B41C2C"/>
    <w:styleLink w:val="WW8Num12"/>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8" w15:restartNumberingAfterBreak="0">
    <w:nsid w:val="4BF947F8"/>
    <w:multiLevelType w:val="multilevel"/>
    <w:tmpl w:val="5164F018"/>
    <w:styleLink w:val="WW8Num2"/>
    <w:lvl w:ilvl="0">
      <w:start w:val="1"/>
      <w:numFmt w:val="decimal"/>
      <w:lvlText w:val="%1."/>
      <w:lvlJc w:val="left"/>
      <w:rPr>
        <w:rFonts w:ascii="Arial" w:hAnsi="Arial" w:cs="Arial"/>
        <w:sz w:val="24"/>
        <w:szCs w:val="24"/>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9" w15:restartNumberingAfterBreak="0">
    <w:nsid w:val="4DCE1402"/>
    <w:multiLevelType w:val="multilevel"/>
    <w:tmpl w:val="77B034D2"/>
    <w:styleLink w:val="WW8Num16"/>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20" w15:restartNumberingAfterBreak="0">
    <w:nsid w:val="53A93C68"/>
    <w:multiLevelType w:val="multilevel"/>
    <w:tmpl w:val="1E145BEA"/>
    <w:styleLink w:val="WW8Num9"/>
    <w:lvl w:ilvl="0">
      <w:numFmt w:val="bullet"/>
      <w:lvlText w:val=""/>
      <w:lvlJc w:val="left"/>
      <w:rPr>
        <w:rFonts w:ascii="Symbol" w:hAnsi="Symbol"/>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21" w15:restartNumberingAfterBreak="0">
    <w:nsid w:val="6030546C"/>
    <w:multiLevelType w:val="multilevel"/>
    <w:tmpl w:val="17E8846C"/>
    <w:styleLink w:val="WW8Num19"/>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22" w15:restartNumberingAfterBreak="0">
    <w:nsid w:val="66686804"/>
    <w:multiLevelType w:val="multilevel"/>
    <w:tmpl w:val="70341B76"/>
    <w:styleLink w:val="WW8Num18"/>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23" w15:restartNumberingAfterBreak="0">
    <w:nsid w:val="6B835970"/>
    <w:multiLevelType w:val="multilevel"/>
    <w:tmpl w:val="B876F810"/>
    <w:styleLink w:val="WW8Num1"/>
    <w:lvl w:ilvl="0">
      <w:start w:val="1"/>
      <w:numFmt w:val="decimal"/>
      <w:lvlText w:val="%1."/>
      <w:lvlJc w:val="left"/>
      <w:rPr>
        <w:rFonts w:ascii="Arial" w:hAnsi="Arial" w:cs="Arial"/>
        <w:spacing w:val="6"/>
        <w:sz w:val="22"/>
        <w:szCs w:val="22"/>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24" w15:restartNumberingAfterBreak="0">
    <w:nsid w:val="6B851B90"/>
    <w:multiLevelType w:val="multilevel"/>
    <w:tmpl w:val="3B5EDC96"/>
    <w:styleLink w:val="WW8Num8"/>
    <w:lvl w:ilvl="0">
      <w:start w:val="1"/>
      <w:numFmt w:val="decimal"/>
      <w:lvlText w:val="%1."/>
      <w:lvlJc w:val="left"/>
      <w:rPr>
        <w:rFonts w:ascii="Arial" w:hAnsi="Arial" w:cs="Arial"/>
        <w:b w:val="0"/>
        <w:i w:val="0"/>
        <w:sz w:val="22"/>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25" w15:restartNumberingAfterBreak="0">
    <w:nsid w:val="789C55E0"/>
    <w:multiLevelType w:val="hybridMultilevel"/>
    <w:tmpl w:val="8C4A9002"/>
    <w:lvl w:ilvl="0" w:tplc="12CA3402">
      <w:start w:val="1"/>
      <w:numFmt w:val="lowerLetter"/>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num w:numId="1">
    <w:abstractNumId w:val="18"/>
  </w:num>
  <w:num w:numId="2">
    <w:abstractNumId w:val="13"/>
  </w:num>
  <w:num w:numId="3">
    <w:abstractNumId w:val="23"/>
  </w:num>
  <w:num w:numId="4">
    <w:abstractNumId w:val="3"/>
  </w:num>
  <w:num w:numId="5">
    <w:abstractNumId w:val="22"/>
  </w:num>
  <w:num w:numId="6">
    <w:abstractNumId w:val="24"/>
  </w:num>
  <w:num w:numId="7">
    <w:abstractNumId w:val="5"/>
  </w:num>
  <w:num w:numId="8">
    <w:abstractNumId w:val="0"/>
  </w:num>
  <w:num w:numId="9">
    <w:abstractNumId w:val="12"/>
  </w:num>
  <w:num w:numId="10">
    <w:abstractNumId w:val="11"/>
  </w:num>
  <w:num w:numId="11">
    <w:abstractNumId w:val="14"/>
  </w:num>
  <w:num w:numId="12">
    <w:abstractNumId w:val="9"/>
  </w:num>
  <w:num w:numId="13">
    <w:abstractNumId w:val="17"/>
  </w:num>
  <w:num w:numId="14">
    <w:abstractNumId w:val="4"/>
  </w:num>
  <w:num w:numId="15">
    <w:abstractNumId w:val="2"/>
  </w:num>
  <w:num w:numId="16">
    <w:abstractNumId w:val="19"/>
  </w:num>
  <w:num w:numId="17">
    <w:abstractNumId w:val="21"/>
  </w:num>
  <w:num w:numId="18">
    <w:abstractNumId w:val="20"/>
  </w:num>
  <w:num w:numId="19">
    <w:abstractNumId w:val="15"/>
  </w:num>
  <w:num w:numId="2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num>
  <w:num w:numId="22">
    <w:abstractNumId w:val="16"/>
  </w:num>
  <w:num w:numId="23">
    <w:abstractNumId w:val="8"/>
  </w:num>
  <w:num w:numId="24">
    <w:abstractNumId w:val="10"/>
  </w:num>
  <w:num w:numId="25">
    <w:abstractNumId w:val="25"/>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6001"/>
    <w:rsid w:val="000C6001"/>
    <w:rsid w:val="001B133B"/>
    <w:rsid w:val="00313F48"/>
    <w:rsid w:val="003344CA"/>
    <w:rsid w:val="00387141"/>
    <w:rsid w:val="00397F89"/>
    <w:rsid w:val="004B7959"/>
    <w:rsid w:val="00732CFB"/>
    <w:rsid w:val="00742D27"/>
    <w:rsid w:val="007B447A"/>
    <w:rsid w:val="008353BB"/>
    <w:rsid w:val="00935374"/>
    <w:rsid w:val="009B4CB8"/>
    <w:rsid w:val="009D5CF1"/>
    <w:rsid w:val="00AB7791"/>
    <w:rsid w:val="00AD26EB"/>
    <w:rsid w:val="00DB7B9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E01C30"/>
  <w15:docId w15:val="{58587C34-0C12-4F2F-9296-8CEA006985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Times New Roman" w:hAnsi="Liberation Serif" w:cs="Liberation Serif"/>
        <w:lang w:val="es-CO" w:eastAsia="es-CO"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suppressAutoHyphens/>
    </w:pPr>
    <w:rPr>
      <w:rFonts w:cs="Lohit Devanagari"/>
      <w:kern w:val="3"/>
      <w:sz w:val="24"/>
      <w:szCs w:val="24"/>
      <w:lang w:val="es-ES" w:eastAsia="zh-CN" w:bidi="hi-IN"/>
    </w:rPr>
  </w:style>
  <w:style w:type="paragraph" w:styleId="Ttulo1">
    <w:name w:val="heading 1"/>
    <w:basedOn w:val="Standard"/>
    <w:next w:val="Standard"/>
    <w:uiPriority w:val="9"/>
    <w:qFormat/>
    <w:pPr>
      <w:keepNext/>
      <w:tabs>
        <w:tab w:val="left" w:pos="-720"/>
        <w:tab w:val="left" w:pos="4395"/>
      </w:tabs>
      <w:jc w:val="center"/>
      <w:outlineLvl w:val="0"/>
    </w:pPr>
    <w:rPr>
      <w:rFonts w:ascii="Arial" w:eastAsia="Arial" w:hAnsi="Arial" w:cs="Arial"/>
      <w:b/>
      <w:spacing w:val="-3"/>
      <w:sz w:val="28"/>
    </w:rPr>
  </w:style>
  <w:style w:type="paragraph" w:styleId="Ttulo2">
    <w:name w:val="heading 2"/>
    <w:basedOn w:val="Standard"/>
    <w:next w:val="Standard"/>
    <w:uiPriority w:val="9"/>
    <w:semiHidden/>
    <w:unhideWhenUsed/>
    <w:qFormat/>
    <w:pPr>
      <w:keepNext/>
      <w:widowControl w:val="0"/>
      <w:jc w:val="center"/>
      <w:outlineLvl w:val="1"/>
    </w:pPr>
    <w:rPr>
      <w:rFonts w:ascii="Arial" w:eastAsia="Arial" w:hAnsi="Arial" w:cs="Arial"/>
      <w:b/>
    </w:rPr>
  </w:style>
  <w:style w:type="paragraph" w:styleId="Ttulo3">
    <w:name w:val="heading 3"/>
    <w:basedOn w:val="Standard"/>
    <w:next w:val="Standard"/>
    <w:uiPriority w:val="9"/>
    <w:semiHidden/>
    <w:unhideWhenUsed/>
    <w:qFormat/>
    <w:pPr>
      <w:keepNext/>
      <w:tabs>
        <w:tab w:val="left" w:pos="-720"/>
        <w:tab w:val="right" w:pos="8080"/>
      </w:tabs>
      <w:jc w:val="both"/>
      <w:outlineLvl w:val="2"/>
    </w:pPr>
    <w:rPr>
      <w:rFonts w:ascii="Arial" w:eastAsia="Arial" w:hAnsi="Arial" w:cs="Arial"/>
      <w:spacing w:val="-3"/>
      <w:sz w:val="28"/>
    </w:rPr>
  </w:style>
  <w:style w:type="paragraph" w:styleId="Ttulo4">
    <w:name w:val="heading 4"/>
    <w:basedOn w:val="Standard"/>
    <w:next w:val="Standard"/>
    <w:uiPriority w:val="9"/>
    <w:semiHidden/>
    <w:unhideWhenUsed/>
    <w:qFormat/>
    <w:pPr>
      <w:keepNext/>
      <w:tabs>
        <w:tab w:val="left" w:pos="-720"/>
      </w:tabs>
      <w:ind w:right="851"/>
      <w:jc w:val="both"/>
      <w:outlineLvl w:val="3"/>
    </w:pPr>
    <w:rPr>
      <w:rFonts w:ascii="Arial" w:eastAsia="Arial" w:hAnsi="Arial" w:cs="Arial"/>
      <w:b/>
      <w:bCs/>
      <w:spacing w:val="-3"/>
      <w:sz w:val="28"/>
    </w:rPr>
  </w:style>
  <w:style w:type="paragraph" w:styleId="Ttulo5">
    <w:name w:val="heading 5"/>
    <w:basedOn w:val="Standard"/>
    <w:next w:val="Standard"/>
    <w:uiPriority w:val="9"/>
    <w:semiHidden/>
    <w:unhideWhenUsed/>
    <w:qFormat/>
    <w:pPr>
      <w:keepNext/>
      <w:outlineLvl w:val="4"/>
    </w:pPr>
    <w:rPr>
      <w:rFonts w:ascii="Arial" w:eastAsia="Arial" w:hAnsi="Arial" w:cs="Arial"/>
      <w:b/>
      <w:bCs/>
      <w:sz w:val="28"/>
    </w:rPr>
  </w:style>
  <w:style w:type="paragraph" w:styleId="Ttulo6">
    <w:name w:val="heading 6"/>
    <w:basedOn w:val="Standard"/>
    <w:next w:val="Standard"/>
    <w:uiPriority w:val="9"/>
    <w:semiHidden/>
    <w:unhideWhenUsed/>
    <w:qFormat/>
    <w:pPr>
      <w:keepNext/>
      <w:tabs>
        <w:tab w:val="left" w:pos="-720"/>
      </w:tabs>
      <w:jc w:val="both"/>
      <w:outlineLvl w:val="5"/>
    </w:pPr>
    <w:rPr>
      <w:rFonts w:ascii="Arial" w:eastAsia="Arial" w:hAnsi="Arial" w:cs="Arial"/>
      <w:spacing w:val="-3"/>
      <w:sz w:val="28"/>
    </w:rPr>
  </w:style>
  <w:style w:type="paragraph" w:styleId="Ttulo7">
    <w:name w:val="heading 7"/>
    <w:basedOn w:val="Standard"/>
    <w:next w:val="Standard"/>
    <w:pPr>
      <w:keepNext/>
      <w:outlineLvl w:val="6"/>
    </w:pPr>
    <w:rPr>
      <w:rFonts w:ascii="Arial" w:eastAsia="Arial" w:hAnsi="Arial" w:cs="Arial"/>
    </w:rPr>
  </w:style>
  <w:style w:type="paragraph" w:styleId="Ttulo8">
    <w:name w:val="heading 8"/>
    <w:basedOn w:val="Standard"/>
    <w:next w:val="Standard"/>
    <w:pPr>
      <w:keepNext/>
      <w:tabs>
        <w:tab w:val="left" w:pos="-720"/>
      </w:tabs>
      <w:jc w:val="center"/>
      <w:outlineLvl w:val="7"/>
    </w:pPr>
    <w:rPr>
      <w:sz w:val="28"/>
    </w:rPr>
  </w:style>
  <w:style w:type="paragraph" w:styleId="Ttulo9">
    <w:name w:val="heading 9"/>
    <w:basedOn w:val="Standard"/>
    <w:next w:val="Standard"/>
    <w:pPr>
      <w:keepNext/>
      <w:tabs>
        <w:tab w:val="left" w:pos="-720"/>
        <w:tab w:val="left" w:pos="4395"/>
      </w:tabs>
      <w:jc w:val="both"/>
      <w:outlineLvl w:val="8"/>
    </w:pPr>
    <w:rPr>
      <w:rFonts w:ascii="Arial" w:eastAsia="Arial" w:hAnsi="Arial" w:cs="Arial"/>
      <w:b/>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ITULOUNO">
    <w:name w:val="TITULO UNO"/>
    <w:basedOn w:val="Ttulo1"/>
    <w:pPr>
      <w:tabs>
        <w:tab w:val="clear" w:pos="4395"/>
      </w:tabs>
      <w:jc w:val="both"/>
    </w:pPr>
    <w:rPr>
      <w:bCs/>
      <w:spacing w:val="0"/>
      <w:sz w:val="24"/>
      <w:szCs w:val="24"/>
    </w:rPr>
  </w:style>
  <w:style w:type="paragraph" w:customStyle="1" w:styleId="Heading71">
    <w:name w:val="Heading 71"/>
    <w:basedOn w:val="Normal"/>
    <w:next w:val="Normal"/>
    <w:pPr>
      <w:keepNext/>
      <w:keepLines/>
      <w:widowControl/>
      <w:spacing w:before="200"/>
      <w:ind w:left="5040" w:hanging="360"/>
      <w:jc w:val="both"/>
      <w:textAlignment w:val="auto"/>
      <w:outlineLvl w:val="6"/>
    </w:pPr>
    <w:rPr>
      <w:rFonts w:ascii="Calibri" w:eastAsia="MS Gothic" w:hAnsi="Calibri" w:cs="Times New Roman"/>
      <w:i/>
      <w:iCs/>
      <w:color w:val="404040"/>
      <w:kern w:val="0"/>
      <w:lang w:eastAsia="es-ES" w:bidi="ar-SA"/>
    </w:rPr>
  </w:style>
  <w:style w:type="paragraph" w:customStyle="1" w:styleId="Heading81">
    <w:name w:val="Heading 81"/>
    <w:basedOn w:val="Normal"/>
    <w:next w:val="Normal"/>
    <w:pPr>
      <w:keepNext/>
      <w:keepLines/>
      <w:widowControl/>
      <w:spacing w:before="200"/>
      <w:ind w:left="5760" w:hanging="360"/>
      <w:jc w:val="both"/>
      <w:textAlignment w:val="auto"/>
      <w:outlineLvl w:val="7"/>
    </w:pPr>
    <w:rPr>
      <w:rFonts w:ascii="Calibri" w:eastAsia="MS Gothic" w:hAnsi="Calibri" w:cs="Times New Roman"/>
      <w:color w:val="404040"/>
      <w:kern w:val="0"/>
      <w:sz w:val="20"/>
      <w:szCs w:val="20"/>
      <w:lang w:eastAsia="es-ES" w:bidi="ar-SA"/>
    </w:rPr>
  </w:style>
  <w:style w:type="paragraph" w:customStyle="1" w:styleId="Heading91">
    <w:name w:val="Heading 91"/>
    <w:basedOn w:val="Normal"/>
    <w:next w:val="Normal"/>
    <w:pPr>
      <w:keepNext/>
      <w:keepLines/>
      <w:widowControl/>
      <w:spacing w:before="200"/>
      <w:ind w:left="6480" w:hanging="180"/>
      <w:jc w:val="both"/>
      <w:textAlignment w:val="auto"/>
      <w:outlineLvl w:val="8"/>
    </w:pPr>
    <w:rPr>
      <w:rFonts w:ascii="Calibri" w:eastAsia="MS Gothic" w:hAnsi="Calibri" w:cs="Times New Roman"/>
      <w:i/>
      <w:iCs/>
      <w:color w:val="404040"/>
      <w:kern w:val="0"/>
      <w:sz w:val="20"/>
      <w:szCs w:val="20"/>
      <w:lang w:eastAsia="es-ES" w:bidi="ar-SA"/>
    </w:rPr>
  </w:style>
  <w:style w:type="paragraph" w:customStyle="1" w:styleId="Standard">
    <w:name w:val="Standard"/>
    <w:pPr>
      <w:suppressAutoHyphens/>
    </w:pPr>
    <w:rPr>
      <w:rFonts w:ascii="Courier New" w:eastAsia="Courier New" w:hAnsi="Courier New" w:cs="Courier New"/>
      <w:kern w:val="3"/>
      <w:sz w:val="24"/>
      <w:lang w:val="es-ES" w:eastAsia="zh-CN"/>
    </w:rPr>
  </w:style>
  <w:style w:type="paragraph" w:customStyle="1" w:styleId="Heading">
    <w:name w:val="Heading"/>
    <w:basedOn w:val="Standard"/>
    <w:next w:val="Textbody"/>
    <w:pPr>
      <w:spacing w:before="240" w:after="60"/>
      <w:jc w:val="center"/>
    </w:pPr>
    <w:rPr>
      <w:rFonts w:ascii="Arial" w:eastAsia="Arial" w:hAnsi="Arial" w:cs="Arial"/>
      <w:b/>
      <w:sz w:val="32"/>
    </w:rPr>
  </w:style>
  <w:style w:type="paragraph" w:customStyle="1" w:styleId="Textbody">
    <w:name w:val="Text body"/>
    <w:basedOn w:val="Standard"/>
    <w:pPr>
      <w:tabs>
        <w:tab w:val="left" w:pos="-720"/>
      </w:tabs>
      <w:jc w:val="both"/>
    </w:pPr>
    <w:rPr>
      <w:rFonts w:ascii="Arial" w:eastAsia="Arial" w:hAnsi="Arial" w:cs="Arial"/>
      <w:spacing w:val="-3"/>
      <w:sz w:val="28"/>
    </w:rPr>
  </w:style>
  <w:style w:type="paragraph" w:styleId="Lista">
    <w:name w:val="List"/>
    <w:basedOn w:val="Standard"/>
    <w:pPr>
      <w:ind w:left="283" w:hanging="283"/>
    </w:pPr>
    <w:rPr>
      <w:rFonts w:ascii="Times New Roman" w:eastAsia="Times New Roman" w:hAnsi="Times New Roman" w:cs="Times New Roman"/>
      <w:lang w:val="es-CO"/>
    </w:rPr>
  </w:style>
  <w:style w:type="paragraph" w:styleId="Descripcin">
    <w:name w:val="caption"/>
    <w:basedOn w:val="Standard"/>
    <w:pPr>
      <w:suppressLineNumbers/>
      <w:spacing w:before="120" w:after="120"/>
    </w:pPr>
    <w:rPr>
      <w:rFonts w:cs="Lohit Devanagari"/>
      <w:i/>
      <w:iCs/>
      <w:szCs w:val="24"/>
    </w:rPr>
  </w:style>
  <w:style w:type="paragraph" w:customStyle="1" w:styleId="Index">
    <w:name w:val="Index"/>
    <w:basedOn w:val="Standard"/>
    <w:pPr>
      <w:suppressLineNumbers/>
    </w:pPr>
    <w:rPr>
      <w:rFonts w:cs="Lohit Devanagari"/>
    </w:rPr>
  </w:style>
  <w:style w:type="paragraph" w:customStyle="1" w:styleId="Contents1">
    <w:name w:val="Contents 1"/>
    <w:basedOn w:val="Standard"/>
    <w:next w:val="Standard"/>
    <w:pPr>
      <w:tabs>
        <w:tab w:val="left" w:leader="dot" w:pos="9720"/>
        <w:tab w:val="right" w:pos="10080"/>
      </w:tabs>
      <w:spacing w:before="480"/>
      <w:ind w:left="720" w:right="720" w:hanging="720"/>
    </w:pPr>
    <w:rPr>
      <w:lang w:val="en-US"/>
    </w:rPr>
  </w:style>
  <w:style w:type="paragraph" w:customStyle="1" w:styleId="Contents2">
    <w:name w:val="Contents 2"/>
    <w:basedOn w:val="Standard"/>
    <w:next w:val="Standard"/>
    <w:pPr>
      <w:tabs>
        <w:tab w:val="left" w:leader="dot" w:pos="10440"/>
        <w:tab w:val="right" w:pos="10800"/>
      </w:tabs>
      <w:ind w:left="1440" w:right="720" w:hanging="720"/>
    </w:pPr>
    <w:rPr>
      <w:lang w:val="en-US"/>
    </w:rPr>
  </w:style>
  <w:style w:type="paragraph" w:customStyle="1" w:styleId="Contents3">
    <w:name w:val="Contents 3"/>
    <w:basedOn w:val="Standard"/>
    <w:next w:val="Standard"/>
    <w:pPr>
      <w:tabs>
        <w:tab w:val="left" w:leader="dot" w:pos="11160"/>
        <w:tab w:val="right" w:pos="11520"/>
      </w:tabs>
      <w:ind w:left="2160" w:right="720" w:hanging="720"/>
    </w:pPr>
    <w:rPr>
      <w:lang w:val="en-US"/>
    </w:rPr>
  </w:style>
  <w:style w:type="paragraph" w:customStyle="1" w:styleId="Contents4">
    <w:name w:val="Contents 4"/>
    <w:basedOn w:val="Standard"/>
    <w:next w:val="Standard"/>
    <w:pPr>
      <w:tabs>
        <w:tab w:val="left" w:leader="dot" w:pos="11880"/>
        <w:tab w:val="right" w:pos="12240"/>
      </w:tabs>
      <w:ind w:left="2880" w:right="720" w:hanging="720"/>
    </w:pPr>
    <w:rPr>
      <w:lang w:val="en-US"/>
    </w:rPr>
  </w:style>
  <w:style w:type="paragraph" w:customStyle="1" w:styleId="Contents5">
    <w:name w:val="Contents 5"/>
    <w:basedOn w:val="Standard"/>
    <w:next w:val="Standard"/>
    <w:pPr>
      <w:tabs>
        <w:tab w:val="left" w:leader="dot" w:pos="12600"/>
        <w:tab w:val="right" w:pos="12960"/>
      </w:tabs>
      <w:ind w:left="3600" w:right="720" w:hanging="720"/>
    </w:pPr>
    <w:rPr>
      <w:lang w:val="en-US"/>
    </w:rPr>
  </w:style>
  <w:style w:type="paragraph" w:customStyle="1" w:styleId="Contents6">
    <w:name w:val="Contents 6"/>
    <w:basedOn w:val="Standard"/>
    <w:next w:val="Standard"/>
    <w:pPr>
      <w:tabs>
        <w:tab w:val="left" w:pos="9720"/>
        <w:tab w:val="right" w:pos="10080"/>
      </w:tabs>
      <w:ind w:left="720" w:hanging="720"/>
    </w:pPr>
    <w:rPr>
      <w:lang w:val="en-US"/>
    </w:rPr>
  </w:style>
  <w:style w:type="paragraph" w:customStyle="1" w:styleId="Contents7">
    <w:name w:val="Contents 7"/>
    <w:basedOn w:val="Standard"/>
    <w:next w:val="Standard"/>
    <w:pPr>
      <w:ind w:left="720" w:hanging="720"/>
    </w:pPr>
    <w:rPr>
      <w:lang w:val="en-US"/>
    </w:rPr>
  </w:style>
  <w:style w:type="paragraph" w:customStyle="1" w:styleId="Contents8">
    <w:name w:val="Contents 8"/>
    <w:basedOn w:val="Standard"/>
    <w:next w:val="Standard"/>
    <w:pPr>
      <w:tabs>
        <w:tab w:val="left" w:pos="9720"/>
        <w:tab w:val="right" w:pos="10080"/>
      </w:tabs>
      <w:ind w:left="720" w:hanging="720"/>
    </w:pPr>
    <w:rPr>
      <w:lang w:val="en-US"/>
    </w:rPr>
  </w:style>
  <w:style w:type="paragraph" w:customStyle="1" w:styleId="Contents9">
    <w:name w:val="Contents 9"/>
    <w:basedOn w:val="Standard"/>
    <w:next w:val="Standard"/>
    <w:pPr>
      <w:tabs>
        <w:tab w:val="left" w:leader="dot" w:pos="9720"/>
        <w:tab w:val="right" w:pos="10080"/>
      </w:tabs>
      <w:ind w:left="720" w:hanging="720"/>
    </w:pPr>
    <w:rPr>
      <w:lang w:val="en-US"/>
    </w:rPr>
  </w:style>
  <w:style w:type="paragraph" w:customStyle="1" w:styleId="ndice1">
    <w:name w:val="índice 1"/>
    <w:basedOn w:val="Standard"/>
    <w:pPr>
      <w:tabs>
        <w:tab w:val="left" w:leader="dot" w:pos="10440"/>
        <w:tab w:val="right" w:pos="10800"/>
      </w:tabs>
      <w:ind w:left="1440" w:right="720" w:hanging="1440"/>
    </w:pPr>
    <w:rPr>
      <w:lang w:val="en-US"/>
    </w:rPr>
  </w:style>
  <w:style w:type="paragraph" w:customStyle="1" w:styleId="ndice2">
    <w:name w:val="índice 2"/>
    <w:basedOn w:val="Standard"/>
    <w:pPr>
      <w:tabs>
        <w:tab w:val="left" w:leader="dot" w:pos="10440"/>
        <w:tab w:val="right" w:pos="10800"/>
      </w:tabs>
      <w:ind w:left="1440" w:right="720" w:hanging="720"/>
    </w:pPr>
    <w:rPr>
      <w:lang w:val="en-US"/>
    </w:rPr>
  </w:style>
  <w:style w:type="paragraph" w:customStyle="1" w:styleId="toa">
    <w:name w:val="toa"/>
    <w:basedOn w:val="Standard"/>
    <w:pPr>
      <w:tabs>
        <w:tab w:val="left" w:pos="9000"/>
        <w:tab w:val="right" w:pos="9360"/>
      </w:tabs>
    </w:pPr>
    <w:rPr>
      <w:lang w:val="en-US"/>
    </w:rPr>
  </w:style>
  <w:style w:type="paragraph" w:customStyle="1" w:styleId="epgrafe">
    <w:name w:val="epígrafe"/>
    <w:basedOn w:val="Standard"/>
  </w:style>
  <w:style w:type="paragraph" w:styleId="ndice10">
    <w:name w:val="index 1"/>
    <w:basedOn w:val="Standard"/>
    <w:next w:val="Standard"/>
    <w:pPr>
      <w:tabs>
        <w:tab w:val="right" w:pos="4867"/>
      </w:tabs>
      <w:ind w:left="240" w:hanging="240"/>
    </w:pPr>
    <w:rPr>
      <w:rFonts w:ascii="Times New Roman" w:eastAsia="Times New Roman" w:hAnsi="Times New Roman" w:cs="Times New Roman"/>
      <w:sz w:val="18"/>
    </w:rPr>
  </w:style>
  <w:style w:type="paragraph" w:styleId="ndice20">
    <w:name w:val="index 2"/>
    <w:basedOn w:val="Standard"/>
    <w:next w:val="Standard"/>
    <w:pPr>
      <w:tabs>
        <w:tab w:val="right" w:pos="5107"/>
      </w:tabs>
      <w:ind w:left="480" w:hanging="240"/>
    </w:pPr>
    <w:rPr>
      <w:rFonts w:ascii="Times New Roman" w:eastAsia="Times New Roman" w:hAnsi="Times New Roman" w:cs="Times New Roman"/>
      <w:sz w:val="18"/>
    </w:rPr>
  </w:style>
  <w:style w:type="paragraph" w:styleId="ndice3">
    <w:name w:val="index 3"/>
    <w:basedOn w:val="Standard"/>
    <w:next w:val="Standard"/>
    <w:pPr>
      <w:tabs>
        <w:tab w:val="right" w:pos="5347"/>
      </w:tabs>
      <w:ind w:left="720" w:hanging="240"/>
    </w:pPr>
    <w:rPr>
      <w:rFonts w:ascii="Times New Roman" w:eastAsia="Times New Roman" w:hAnsi="Times New Roman" w:cs="Times New Roman"/>
      <w:sz w:val="18"/>
    </w:rPr>
  </w:style>
  <w:style w:type="paragraph" w:styleId="ndice4">
    <w:name w:val="index 4"/>
    <w:basedOn w:val="Standard"/>
    <w:next w:val="Standard"/>
    <w:pPr>
      <w:tabs>
        <w:tab w:val="right" w:pos="5587"/>
      </w:tabs>
      <w:ind w:left="960" w:hanging="240"/>
    </w:pPr>
    <w:rPr>
      <w:rFonts w:ascii="Times New Roman" w:eastAsia="Times New Roman" w:hAnsi="Times New Roman" w:cs="Times New Roman"/>
      <w:sz w:val="18"/>
    </w:rPr>
  </w:style>
  <w:style w:type="paragraph" w:styleId="ndice5">
    <w:name w:val="index 5"/>
    <w:basedOn w:val="Standard"/>
    <w:next w:val="Standard"/>
    <w:pPr>
      <w:tabs>
        <w:tab w:val="right" w:pos="5827"/>
      </w:tabs>
      <w:ind w:left="1200" w:hanging="240"/>
    </w:pPr>
    <w:rPr>
      <w:rFonts w:ascii="Times New Roman" w:eastAsia="Times New Roman" w:hAnsi="Times New Roman" w:cs="Times New Roman"/>
      <w:sz w:val="18"/>
    </w:rPr>
  </w:style>
  <w:style w:type="paragraph" w:styleId="ndice6">
    <w:name w:val="index 6"/>
    <w:basedOn w:val="Standard"/>
    <w:next w:val="Standard"/>
    <w:pPr>
      <w:tabs>
        <w:tab w:val="right" w:pos="6067"/>
      </w:tabs>
      <w:ind w:left="1440" w:hanging="240"/>
    </w:pPr>
    <w:rPr>
      <w:rFonts w:ascii="Times New Roman" w:eastAsia="Times New Roman" w:hAnsi="Times New Roman" w:cs="Times New Roman"/>
      <w:sz w:val="18"/>
    </w:rPr>
  </w:style>
  <w:style w:type="paragraph" w:styleId="ndice7">
    <w:name w:val="index 7"/>
    <w:basedOn w:val="Standard"/>
    <w:next w:val="Standard"/>
    <w:pPr>
      <w:tabs>
        <w:tab w:val="right" w:pos="6307"/>
      </w:tabs>
      <w:ind w:left="1680" w:hanging="240"/>
    </w:pPr>
    <w:rPr>
      <w:rFonts w:ascii="Times New Roman" w:eastAsia="Times New Roman" w:hAnsi="Times New Roman" w:cs="Times New Roman"/>
      <w:sz w:val="18"/>
    </w:rPr>
  </w:style>
  <w:style w:type="paragraph" w:styleId="ndice8">
    <w:name w:val="index 8"/>
    <w:basedOn w:val="Standard"/>
    <w:next w:val="Standard"/>
    <w:pPr>
      <w:tabs>
        <w:tab w:val="right" w:pos="6547"/>
      </w:tabs>
      <w:ind w:left="1920" w:hanging="240"/>
    </w:pPr>
    <w:rPr>
      <w:rFonts w:ascii="Times New Roman" w:eastAsia="Times New Roman" w:hAnsi="Times New Roman" w:cs="Times New Roman"/>
      <w:sz w:val="18"/>
    </w:rPr>
  </w:style>
  <w:style w:type="paragraph" w:styleId="ndice9">
    <w:name w:val="index 9"/>
    <w:basedOn w:val="Standard"/>
    <w:next w:val="Standard"/>
    <w:pPr>
      <w:tabs>
        <w:tab w:val="right" w:pos="6787"/>
      </w:tabs>
      <w:ind w:left="2160" w:hanging="240"/>
    </w:pPr>
    <w:rPr>
      <w:rFonts w:ascii="Times New Roman" w:eastAsia="Times New Roman" w:hAnsi="Times New Roman" w:cs="Times New Roman"/>
      <w:sz w:val="18"/>
    </w:rPr>
  </w:style>
  <w:style w:type="paragraph" w:styleId="Ttulodendice">
    <w:name w:val="index heading"/>
    <w:basedOn w:val="Standard"/>
    <w:next w:val="ndice10"/>
    <w:pPr>
      <w:spacing w:before="240" w:after="120"/>
      <w:jc w:val="center"/>
    </w:pPr>
    <w:rPr>
      <w:rFonts w:ascii="Times New Roman" w:eastAsia="Times New Roman" w:hAnsi="Times New Roman" w:cs="Times New Roman"/>
      <w:b/>
      <w:sz w:val="26"/>
    </w:rPr>
  </w:style>
  <w:style w:type="paragraph" w:styleId="Encabezado">
    <w:name w:val="header"/>
    <w:basedOn w:val="HeaderandFooter"/>
  </w:style>
  <w:style w:type="paragraph" w:customStyle="1" w:styleId="HeaderandFooter">
    <w:name w:val="Header and Footer"/>
    <w:basedOn w:val="Standard"/>
    <w:pPr>
      <w:suppressLineNumbers/>
      <w:tabs>
        <w:tab w:val="center" w:pos="4986"/>
        <w:tab w:val="right" w:pos="9972"/>
      </w:tabs>
    </w:pPr>
  </w:style>
  <w:style w:type="paragraph" w:styleId="Piedepgina">
    <w:name w:val="footer"/>
    <w:basedOn w:val="Normal"/>
    <w:pPr>
      <w:tabs>
        <w:tab w:val="center" w:pos="4419"/>
        <w:tab w:val="right" w:pos="8838"/>
      </w:tabs>
    </w:pPr>
    <w:rPr>
      <w:rFonts w:cs="Mangal"/>
      <w:szCs w:val="21"/>
    </w:rPr>
  </w:style>
  <w:style w:type="paragraph" w:customStyle="1" w:styleId="Textbodyindent">
    <w:name w:val="Text body indent"/>
    <w:basedOn w:val="Standard"/>
    <w:pPr>
      <w:tabs>
        <w:tab w:val="left" w:pos="4383"/>
        <w:tab w:val="left" w:pos="10206"/>
      </w:tabs>
      <w:ind w:left="5103" w:hanging="5103"/>
      <w:jc w:val="both"/>
    </w:pPr>
    <w:rPr>
      <w:rFonts w:ascii="Arial" w:eastAsia="Arial" w:hAnsi="Arial" w:cs="Arial"/>
      <w:spacing w:val="-3"/>
      <w:sz w:val="28"/>
    </w:rPr>
  </w:style>
  <w:style w:type="paragraph" w:styleId="Textoindependiente2">
    <w:name w:val="Body Text 2"/>
    <w:basedOn w:val="Standard"/>
    <w:pPr>
      <w:tabs>
        <w:tab w:val="left" w:pos="-720"/>
      </w:tabs>
      <w:ind w:right="851"/>
      <w:jc w:val="both"/>
    </w:pPr>
    <w:rPr>
      <w:rFonts w:ascii="Arial" w:eastAsia="Arial" w:hAnsi="Arial" w:cs="Arial"/>
      <w:spacing w:val="-3"/>
      <w:sz w:val="28"/>
    </w:rPr>
  </w:style>
  <w:style w:type="paragraph" w:styleId="Textoindependiente3">
    <w:name w:val="Body Text 3"/>
    <w:basedOn w:val="Standard"/>
    <w:rPr>
      <w:rFonts w:ascii="Arial" w:eastAsia="Arial" w:hAnsi="Arial" w:cs="Arial"/>
      <w:sz w:val="28"/>
    </w:rPr>
  </w:style>
  <w:style w:type="paragraph" w:styleId="Textodebloque">
    <w:name w:val="Block Text"/>
    <w:basedOn w:val="Standard"/>
    <w:pPr>
      <w:ind w:left="851" w:right="851"/>
      <w:jc w:val="both"/>
    </w:pPr>
    <w:rPr>
      <w:rFonts w:ascii="Bookman Old Style" w:eastAsia="Bookman Old Style" w:hAnsi="Bookman Old Style" w:cs="Bookman Old Style"/>
      <w:sz w:val="22"/>
    </w:rPr>
  </w:style>
  <w:style w:type="paragraph" w:customStyle="1" w:styleId="Documento1">
    <w:name w:val="Documento 1"/>
    <w:pPr>
      <w:keepNext/>
      <w:keepLines/>
      <w:tabs>
        <w:tab w:val="left" w:pos="-720"/>
      </w:tabs>
      <w:suppressAutoHyphens/>
    </w:pPr>
    <w:rPr>
      <w:rFonts w:ascii="Courier" w:eastAsia="Courier" w:hAnsi="Courier" w:cs="Courier"/>
      <w:kern w:val="3"/>
      <w:sz w:val="24"/>
      <w:lang w:val="en-US" w:eastAsia="zh-CN"/>
    </w:rPr>
  </w:style>
  <w:style w:type="paragraph" w:styleId="Textocomentario">
    <w:name w:val="annotation text"/>
    <w:basedOn w:val="Standard"/>
    <w:rPr>
      <w:rFonts w:ascii="Arial" w:eastAsia="Arial" w:hAnsi="Arial" w:cs="Arial"/>
      <w:sz w:val="20"/>
    </w:rPr>
  </w:style>
  <w:style w:type="paragraph" w:customStyle="1" w:styleId="TITULODOS">
    <w:name w:val="TITULO DOS"/>
    <w:basedOn w:val="Ttulo1"/>
    <w:pPr>
      <w:tabs>
        <w:tab w:val="clear" w:pos="4395"/>
        <w:tab w:val="left" w:pos="567"/>
      </w:tabs>
      <w:jc w:val="both"/>
    </w:pPr>
    <w:rPr>
      <w:bCs/>
      <w:spacing w:val="0"/>
      <w:sz w:val="24"/>
      <w:szCs w:val="24"/>
    </w:rPr>
  </w:style>
  <w:style w:type="paragraph" w:customStyle="1" w:styleId="titulotres">
    <w:name w:val="titulo tres"/>
    <w:basedOn w:val="Ttulo1"/>
    <w:pPr>
      <w:widowControl w:val="0"/>
      <w:numPr>
        <w:numId w:val="12"/>
      </w:numPr>
      <w:tabs>
        <w:tab w:val="clear" w:pos="4395"/>
      </w:tabs>
      <w:jc w:val="both"/>
    </w:pPr>
    <w:rPr>
      <w:bCs/>
      <w:spacing w:val="0"/>
      <w:kern w:val="0"/>
      <w:sz w:val="24"/>
      <w:szCs w:val="22"/>
      <w:lang w:val="es-CO" w:eastAsia="es-CO" w:bidi="hi-IN"/>
    </w:rPr>
  </w:style>
  <w:style w:type="paragraph" w:customStyle="1" w:styleId="BodyText23">
    <w:name w:val="Body Text 23"/>
    <w:basedOn w:val="Standard"/>
    <w:pPr>
      <w:widowControl w:val="0"/>
      <w:jc w:val="both"/>
    </w:pPr>
    <w:rPr>
      <w:rFonts w:ascii="Arial" w:eastAsia="Arial" w:hAnsi="Arial" w:cs="Arial"/>
      <w:b/>
    </w:rPr>
  </w:style>
  <w:style w:type="paragraph" w:customStyle="1" w:styleId="Car">
    <w:name w:val="Car"/>
    <w:basedOn w:val="Standard"/>
    <w:pPr>
      <w:spacing w:after="160" w:line="240" w:lineRule="exact"/>
    </w:pPr>
    <w:rPr>
      <w:rFonts w:ascii="Tahoma" w:eastAsia="Tahoma" w:hAnsi="Tahoma" w:cs="Tahoma"/>
      <w:sz w:val="20"/>
      <w:lang w:val="en-US"/>
    </w:rPr>
  </w:style>
  <w:style w:type="paragraph" w:styleId="NormalWeb">
    <w:name w:val="Normal (Web)"/>
    <w:basedOn w:val="Standard"/>
    <w:pPr>
      <w:spacing w:before="100" w:after="100"/>
    </w:pPr>
    <w:rPr>
      <w:rFonts w:ascii="Times New Roman" w:eastAsia="Times New Roman" w:hAnsi="Times New Roman" w:cs="Times New Roman"/>
      <w:szCs w:val="24"/>
      <w:lang w:val="es-CO"/>
    </w:rPr>
  </w:style>
  <w:style w:type="paragraph" w:styleId="Sinespaciado">
    <w:name w:val="No Spacing"/>
    <w:pPr>
      <w:suppressAutoHyphens/>
    </w:pPr>
    <w:rPr>
      <w:rFonts w:ascii="Courier New" w:eastAsia="Courier New" w:hAnsi="Courier New" w:cs="Courier New"/>
      <w:kern w:val="3"/>
      <w:sz w:val="24"/>
      <w:lang w:val="es-ES" w:eastAsia="zh-CN"/>
    </w:rPr>
  </w:style>
  <w:style w:type="paragraph" w:customStyle="1" w:styleId="WW-Default">
    <w:name w:val="WW-Default"/>
    <w:pPr>
      <w:suppressAutoHyphens/>
      <w:autoSpaceDE w:val="0"/>
    </w:pPr>
    <w:rPr>
      <w:rFonts w:ascii="Verdana" w:eastAsia="Verdana" w:hAnsi="Verdana" w:cs="Verdana"/>
      <w:color w:val="000000"/>
      <w:kern w:val="3"/>
      <w:sz w:val="24"/>
      <w:szCs w:val="24"/>
      <w:lang w:val="es-ES" w:eastAsia="zh-CN"/>
    </w:rPr>
  </w:style>
  <w:style w:type="paragraph" w:styleId="Prrafodelista">
    <w:name w:val="List Paragraph"/>
    <w:basedOn w:val="Standard"/>
    <w:qFormat/>
    <w:pPr>
      <w:ind w:left="708"/>
    </w:pPr>
  </w:style>
  <w:style w:type="paragraph" w:customStyle="1" w:styleId="Style1">
    <w:name w:val="Style 1"/>
    <w:pPr>
      <w:widowControl w:val="0"/>
      <w:suppressAutoHyphens/>
      <w:autoSpaceDE w:val="0"/>
    </w:pPr>
    <w:rPr>
      <w:rFonts w:ascii="Times New Roman" w:hAnsi="Times New Roman" w:cs="Times New Roman"/>
      <w:kern w:val="3"/>
      <w:lang w:val="en-US" w:eastAsia="zh-CN"/>
    </w:rPr>
  </w:style>
  <w:style w:type="paragraph" w:customStyle="1" w:styleId="Style2">
    <w:name w:val="Style 2"/>
    <w:pPr>
      <w:widowControl w:val="0"/>
      <w:suppressAutoHyphens/>
      <w:autoSpaceDE w:val="0"/>
      <w:spacing w:before="144" w:line="312" w:lineRule="auto"/>
    </w:pPr>
    <w:rPr>
      <w:rFonts w:ascii="Bookman Old Style" w:eastAsia="Bookman Old Style" w:hAnsi="Bookman Old Style" w:cs="Bookman Old Style"/>
      <w:kern w:val="3"/>
      <w:sz w:val="22"/>
      <w:szCs w:val="22"/>
      <w:lang w:val="en-US" w:eastAsia="zh-CN"/>
    </w:rPr>
  </w:style>
  <w:style w:type="paragraph" w:customStyle="1" w:styleId="Style3">
    <w:name w:val="Style 3"/>
    <w:pPr>
      <w:widowControl w:val="0"/>
      <w:suppressAutoHyphens/>
      <w:autoSpaceDE w:val="0"/>
      <w:ind w:left="360"/>
    </w:pPr>
    <w:rPr>
      <w:rFonts w:ascii="Times New Roman" w:hAnsi="Times New Roman" w:cs="Times New Roman"/>
      <w:kern w:val="3"/>
      <w:sz w:val="26"/>
      <w:szCs w:val="26"/>
      <w:lang w:val="en-US" w:eastAsia="zh-CN"/>
    </w:rPr>
  </w:style>
  <w:style w:type="paragraph" w:customStyle="1" w:styleId="Style7">
    <w:name w:val="Style 7"/>
    <w:pPr>
      <w:widowControl w:val="0"/>
      <w:suppressAutoHyphens/>
      <w:autoSpaceDE w:val="0"/>
    </w:pPr>
    <w:rPr>
      <w:rFonts w:ascii="Times New Roman" w:hAnsi="Times New Roman" w:cs="Times New Roman"/>
      <w:kern w:val="3"/>
      <w:lang w:val="en-US" w:eastAsia="zh-CN"/>
    </w:rPr>
  </w:style>
  <w:style w:type="paragraph" w:customStyle="1" w:styleId="Style8">
    <w:name w:val="Style 8"/>
    <w:pPr>
      <w:widowControl w:val="0"/>
      <w:suppressAutoHyphens/>
      <w:autoSpaceDE w:val="0"/>
      <w:ind w:left="936" w:hanging="504"/>
    </w:pPr>
    <w:rPr>
      <w:rFonts w:ascii="Arial" w:eastAsia="Arial" w:hAnsi="Arial" w:cs="Arial"/>
      <w:kern w:val="3"/>
      <w:sz w:val="24"/>
      <w:szCs w:val="24"/>
      <w:lang w:val="en-US" w:eastAsia="zh-CN"/>
    </w:rPr>
  </w:style>
  <w:style w:type="paragraph" w:customStyle="1" w:styleId="Style6">
    <w:name w:val="Style 6"/>
    <w:pPr>
      <w:widowControl w:val="0"/>
      <w:suppressAutoHyphens/>
      <w:autoSpaceDE w:val="0"/>
      <w:spacing w:line="204" w:lineRule="auto"/>
      <w:ind w:left="288"/>
    </w:pPr>
    <w:rPr>
      <w:rFonts w:ascii="Arial" w:eastAsia="Arial" w:hAnsi="Arial" w:cs="Arial"/>
      <w:kern w:val="3"/>
      <w:sz w:val="24"/>
      <w:szCs w:val="24"/>
      <w:lang w:val="en-US" w:eastAsia="zh-CN"/>
    </w:rPr>
  </w:style>
  <w:style w:type="paragraph" w:styleId="Textodeglobo">
    <w:name w:val="Balloon Text"/>
    <w:basedOn w:val="Normal"/>
    <w:rPr>
      <w:rFonts w:ascii="Tahoma" w:eastAsia="Tahoma" w:hAnsi="Tahoma" w:cs="Mangal"/>
      <w:sz w:val="16"/>
      <w:szCs w:val="14"/>
    </w:rPr>
  </w:style>
  <w:style w:type="paragraph" w:styleId="Asuntodelcomentario">
    <w:name w:val="annotation subject"/>
    <w:basedOn w:val="Textocomentario"/>
    <w:next w:val="Textocomentario"/>
    <w:pPr>
      <w:widowControl w:val="0"/>
    </w:pPr>
    <w:rPr>
      <w:rFonts w:ascii="Liberation Serif" w:eastAsia="Liberation Serif" w:hAnsi="Liberation Serif" w:cs="Mangal"/>
      <w:b/>
      <w:bCs/>
      <w:szCs w:val="18"/>
      <w:lang w:bidi="hi-IN"/>
    </w:rPr>
  </w:style>
  <w:style w:type="paragraph" w:styleId="HTMLconformatoprevio">
    <w:name w:val="HTML Preformatted"/>
    <w:basedOn w:val="Normal"/>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auto"/>
    </w:pPr>
    <w:rPr>
      <w:rFonts w:ascii="Courier New" w:eastAsia="Courier New" w:hAnsi="Courier New" w:cs="Courier New"/>
      <w:kern w:val="0"/>
      <w:sz w:val="20"/>
      <w:szCs w:val="20"/>
      <w:lang w:val="es-CO" w:eastAsia="es-CO" w:bidi="ar-SA"/>
    </w:rPr>
  </w:style>
  <w:style w:type="paragraph" w:styleId="Revisin">
    <w:name w:val="Revision"/>
    <w:pPr>
      <w:suppressAutoHyphens/>
    </w:pPr>
    <w:rPr>
      <w:rFonts w:cs="Mangal"/>
      <w:kern w:val="3"/>
      <w:sz w:val="24"/>
      <w:szCs w:val="21"/>
      <w:lang w:val="es-ES" w:eastAsia="zh-CN" w:bidi="hi-IN"/>
    </w:rPr>
  </w:style>
  <w:style w:type="paragraph" w:customStyle="1" w:styleId="Estilo1">
    <w:name w:val="Estilo1"/>
    <w:basedOn w:val="Normal"/>
    <w:pPr>
      <w:widowControl/>
    </w:pPr>
    <w:rPr>
      <w:rFonts w:ascii="Arial" w:eastAsia="Arial" w:hAnsi="Arial" w:cs="Arial"/>
      <w:sz w:val="20"/>
      <w:szCs w:val="20"/>
      <w:lang w:bidi="ar-SA"/>
    </w:rPr>
  </w:style>
  <w:style w:type="paragraph" w:styleId="Textonotaalfinal">
    <w:name w:val="endnote text"/>
    <w:basedOn w:val="Normal"/>
    <w:rPr>
      <w:rFonts w:cs="Mangal"/>
      <w:sz w:val="20"/>
      <w:szCs w:val="18"/>
    </w:rPr>
  </w:style>
  <w:style w:type="paragraph" w:styleId="Textonotapie">
    <w:name w:val="footnote text"/>
    <w:basedOn w:val="Normal"/>
    <w:rPr>
      <w:rFonts w:cs="Mangal"/>
      <w:sz w:val="20"/>
      <w:szCs w:val="18"/>
    </w:rPr>
  </w:style>
  <w:style w:type="paragraph" w:customStyle="1" w:styleId="Epgrafe0">
    <w:name w:val="Epígrafe"/>
    <w:basedOn w:val="Normal"/>
    <w:next w:val="Normal"/>
    <w:pPr>
      <w:spacing w:after="200"/>
    </w:pPr>
    <w:rPr>
      <w:rFonts w:cs="Mangal"/>
      <w:i/>
      <w:iCs/>
      <w:color w:val="1F497D"/>
      <w:sz w:val="18"/>
      <w:szCs w:val="16"/>
    </w:rPr>
  </w:style>
  <w:style w:type="paragraph" w:customStyle="1" w:styleId="Normal1">
    <w:name w:val="Normal 1"/>
    <w:basedOn w:val="Sangranormal"/>
    <w:pPr>
      <w:widowControl/>
      <w:tabs>
        <w:tab w:val="left" w:pos="2880"/>
      </w:tabs>
      <w:ind w:left="2880" w:hanging="360"/>
      <w:jc w:val="both"/>
      <w:textAlignment w:val="auto"/>
    </w:pPr>
    <w:rPr>
      <w:rFonts w:ascii="Times New Roman" w:eastAsia="MS Mincho" w:hAnsi="Times New Roman" w:cs="Times New Roman"/>
      <w:kern w:val="0"/>
      <w:szCs w:val="24"/>
      <w:lang w:eastAsia="es-ES" w:bidi="ar-SA"/>
    </w:rPr>
  </w:style>
  <w:style w:type="paragraph" w:styleId="Sangranormal">
    <w:name w:val="Normal Indent"/>
    <w:basedOn w:val="Normal"/>
    <w:pPr>
      <w:ind w:left="708"/>
    </w:pPr>
    <w:rPr>
      <w:rFonts w:cs="Mangal"/>
      <w:szCs w:val="21"/>
    </w:rPr>
  </w:style>
  <w:style w:type="paragraph" w:customStyle="1" w:styleId="Default">
    <w:name w:val="Default"/>
    <w:pPr>
      <w:suppressAutoHyphens/>
      <w:autoSpaceDE w:val="0"/>
      <w:textAlignment w:val="auto"/>
    </w:pPr>
    <w:rPr>
      <w:rFonts w:ascii="Times New Roman" w:hAnsi="Times New Roman" w:cs="Times New Roman"/>
      <w:color w:val="000000"/>
      <w:sz w:val="24"/>
      <w:szCs w:val="24"/>
      <w:lang w:val="es-MX" w:eastAsia="en-US"/>
    </w:rPr>
  </w:style>
  <w:style w:type="paragraph" w:customStyle="1" w:styleId="ANINormal">
    <w:name w:val="ANI Normal"/>
    <w:basedOn w:val="Normal"/>
    <w:pPr>
      <w:widowControl/>
      <w:tabs>
        <w:tab w:val="left" w:pos="-142"/>
      </w:tabs>
      <w:autoSpaceDE w:val="0"/>
      <w:spacing w:before="120" w:after="240"/>
      <w:jc w:val="both"/>
      <w:textAlignment w:val="auto"/>
    </w:pPr>
    <w:rPr>
      <w:rFonts w:ascii="Arial Narrow" w:eastAsia="Arial Narrow" w:hAnsi="Arial Narrow" w:cs="Calibri"/>
      <w:color w:val="000000"/>
      <w:kern w:val="0"/>
      <w:lang w:val="es-CO" w:eastAsia="en-US" w:bidi="ar-SA"/>
    </w:rPr>
  </w:style>
  <w:style w:type="paragraph" w:styleId="Textoindependiente">
    <w:name w:val="Body Text"/>
    <w:basedOn w:val="Normal"/>
    <w:pPr>
      <w:autoSpaceDE w:val="0"/>
      <w:textAlignment w:val="auto"/>
    </w:pPr>
    <w:rPr>
      <w:rFonts w:ascii="Arial" w:eastAsia="Arial" w:hAnsi="Arial" w:cs="Arial"/>
      <w:kern w:val="0"/>
      <w:sz w:val="20"/>
      <w:szCs w:val="20"/>
      <w:lang w:eastAsia="es-ES" w:bidi="ar-SA"/>
    </w:rPr>
  </w:style>
  <w:style w:type="paragraph" w:customStyle="1" w:styleId="nueve">
    <w:name w:val="nueve"/>
    <w:basedOn w:val="Normal"/>
    <w:pPr>
      <w:widowControl/>
      <w:spacing w:before="100" w:after="100"/>
      <w:textAlignment w:val="auto"/>
    </w:pPr>
    <w:rPr>
      <w:rFonts w:ascii="Times New Roman" w:hAnsi="Times New Roman" w:cs="Times New Roman"/>
      <w:kern w:val="0"/>
      <w:lang w:val="es-CO" w:eastAsia="es-CO" w:bidi="ar-SA"/>
    </w:rPr>
  </w:style>
  <w:style w:type="paragraph" w:customStyle="1" w:styleId="paragraph">
    <w:name w:val="paragraph"/>
    <w:basedOn w:val="Normal"/>
    <w:pPr>
      <w:widowControl/>
      <w:spacing w:before="100" w:after="100"/>
      <w:textAlignment w:val="auto"/>
    </w:pPr>
    <w:rPr>
      <w:rFonts w:ascii="Times New Roman" w:hAnsi="Times New Roman" w:cs="Times New Roman"/>
      <w:kern w:val="0"/>
      <w:lang w:val="es-CO" w:eastAsia="es-CO" w:bidi="ar-SA"/>
    </w:rPr>
  </w:style>
  <w:style w:type="paragraph" w:styleId="Sangradetextonormal">
    <w:name w:val="Body Text Indent"/>
    <w:basedOn w:val="Normal"/>
    <w:pPr>
      <w:widowControl/>
      <w:ind w:firstLine="3686"/>
      <w:textAlignment w:val="auto"/>
    </w:pPr>
    <w:rPr>
      <w:rFonts w:ascii="Times New Roman" w:hAnsi="Times New Roman" w:cs="Times New Roman"/>
      <w:kern w:val="0"/>
      <w:sz w:val="20"/>
      <w:szCs w:val="20"/>
      <w:lang w:val="es-CO" w:eastAsia="es-ES" w:bidi="ar-SA"/>
    </w:rPr>
  </w:style>
  <w:style w:type="character" w:customStyle="1" w:styleId="Ttulo1Car">
    <w:name w:val="Título 1 Car"/>
    <w:rPr>
      <w:rFonts w:ascii="Calibri Light" w:eastAsia="Times New Roman" w:hAnsi="Calibri Light" w:cs="Mangal"/>
      <w:b/>
      <w:bCs/>
      <w:kern w:val="3"/>
      <w:sz w:val="29"/>
      <w:szCs w:val="29"/>
      <w:lang w:bidi="hi-IN"/>
    </w:rPr>
  </w:style>
  <w:style w:type="character" w:customStyle="1" w:styleId="Ttulo2Car">
    <w:name w:val="Título 2 Car"/>
    <w:rPr>
      <w:rFonts w:ascii="Calibri Light" w:eastAsia="Times New Roman" w:hAnsi="Calibri Light" w:cs="Mangal"/>
      <w:b/>
      <w:bCs/>
      <w:i/>
      <w:iCs/>
      <w:sz w:val="25"/>
      <w:szCs w:val="25"/>
      <w:lang w:bidi="hi-IN"/>
    </w:rPr>
  </w:style>
  <w:style w:type="character" w:customStyle="1" w:styleId="Ttulo3Car">
    <w:name w:val="Título 3 Car"/>
    <w:rPr>
      <w:rFonts w:ascii="Calibri Light" w:eastAsia="Times New Roman" w:hAnsi="Calibri Light" w:cs="Mangal"/>
      <w:b/>
      <w:bCs/>
      <w:sz w:val="23"/>
      <w:szCs w:val="23"/>
      <w:lang w:bidi="hi-IN"/>
    </w:rPr>
  </w:style>
  <w:style w:type="character" w:customStyle="1" w:styleId="Ttulo4Car">
    <w:name w:val="Título 4 Car"/>
    <w:rPr>
      <w:rFonts w:ascii="Calibri" w:eastAsia="Times New Roman" w:hAnsi="Calibri" w:cs="Mangal"/>
      <w:b/>
      <w:bCs/>
      <w:sz w:val="25"/>
      <w:szCs w:val="25"/>
      <w:lang w:bidi="hi-IN"/>
    </w:rPr>
  </w:style>
  <w:style w:type="character" w:customStyle="1" w:styleId="Ttulo5Car">
    <w:name w:val="Título 5 Car"/>
    <w:rPr>
      <w:rFonts w:ascii="Calibri" w:eastAsia="Times New Roman" w:hAnsi="Calibri" w:cs="Mangal"/>
      <w:b/>
      <w:bCs/>
      <w:i/>
      <w:iCs/>
      <w:sz w:val="23"/>
      <w:szCs w:val="23"/>
      <w:lang w:bidi="hi-IN"/>
    </w:rPr>
  </w:style>
  <w:style w:type="character" w:customStyle="1" w:styleId="Ttulo6Car">
    <w:name w:val="Título 6 Car"/>
    <w:rPr>
      <w:rFonts w:ascii="Calibri" w:eastAsia="Times New Roman" w:hAnsi="Calibri" w:cs="Mangal"/>
      <w:b/>
      <w:bCs/>
      <w:sz w:val="20"/>
      <w:szCs w:val="20"/>
      <w:lang w:bidi="hi-IN"/>
    </w:rPr>
  </w:style>
  <w:style w:type="character" w:customStyle="1" w:styleId="Ttulo7Car">
    <w:name w:val="Título 7 Car"/>
    <w:rPr>
      <w:rFonts w:ascii="Calibri" w:eastAsia="Times New Roman" w:hAnsi="Calibri" w:cs="Mangal"/>
      <w:sz w:val="21"/>
      <w:szCs w:val="21"/>
      <w:lang w:bidi="hi-IN"/>
    </w:rPr>
  </w:style>
  <w:style w:type="character" w:customStyle="1" w:styleId="Ttulo8Car">
    <w:name w:val="Título 8 Car"/>
    <w:rPr>
      <w:rFonts w:ascii="Calibri" w:eastAsia="Times New Roman" w:hAnsi="Calibri" w:cs="Mangal"/>
      <w:i/>
      <w:iCs/>
      <w:sz w:val="21"/>
      <w:szCs w:val="21"/>
      <w:lang w:bidi="hi-IN"/>
    </w:rPr>
  </w:style>
  <w:style w:type="character" w:customStyle="1" w:styleId="Ttulo9Car">
    <w:name w:val="Título 9 Car"/>
    <w:rPr>
      <w:rFonts w:ascii="Calibri Light" w:eastAsia="Times New Roman" w:hAnsi="Calibri Light" w:cs="Mangal"/>
      <w:sz w:val="20"/>
      <w:szCs w:val="20"/>
      <w:lang w:bidi="hi-IN"/>
    </w:rPr>
  </w:style>
  <w:style w:type="character" w:customStyle="1" w:styleId="EncabezadoCar">
    <w:name w:val="Encabezado Car"/>
    <w:rPr>
      <w:rFonts w:cs="Mangal"/>
      <w:sz w:val="21"/>
      <w:szCs w:val="21"/>
    </w:rPr>
  </w:style>
  <w:style w:type="character" w:customStyle="1" w:styleId="PiedepginaCar">
    <w:name w:val="Pie de página Car"/>
    <w:rPr>
      <w:rFonts w:cs="Mangal"/>
      <w:sz w:val="21"/>
      <w:szCs w:val="21"/>
    </w:rPr>
  </w:style>
  <w:style w:type="character" w:customStyle="1" w:styleId="Textoindependiente2Car">
    <w:name w:val="Texto independiente 2 Car"/>
    <w:rPr>
      <w:rFonts w:cs="Mangal"/>
      <w:sz w:val="21"/>
      <w:szCs w:val="21"/>
      <w:lang w:bidi="hi-IN"/>
    </w:rPr>
  </w:style>
  <w:style w:type="character" w:customStyle="1" w:styleId="Textoindependiente3Car">
    <w:name w:val="Texto independiente 3 Car"/>
    <w:rPr>
      <w:rFonts w:cs="Mangal"/>
      <w:sz w:val="14"/>
      <w:szCs w:val="14"/>
      <w:lang w:bidi="hi-IN"/>
    </w:rPr>
  </w:style>
  <w:style w:type="character" w:customStyle="1" w:styleId="TextocomentarioCar">
    <w:name w:val="Texto comentario Car"/>
    <w:rPr>
      <w:rFonts w:ascii="Arial" w:eastAsia="Arial" w:hAnsi="Arial" w:cs="Arial"/>
      <w:sz w:val="20"/>
      <w:szCs w:val="20"/>
      <w:lang w:bidi="ar-SA"/>
    </w:rPr>
  </w:style>
  <w:style w:type="character" w:customStyle="1" w:styleId="TextodegloboCar">
    <w:name w:val="Texto de globo Car"/>
    <w:rPr>
      <w:rFonts w:ascii="Tahoma" w:eastAsia="Tahoma" w:hAnsi="Tahoma" w:cs="Mangal"/>
      <w:sz w:val="14"/>
      <w:szCs w:val="14"/>
    </w:rPr>
  </w:style>
  <w:style w:type="character" w:customStyle="1" w:styleId="WW8Num1z0">
    <w:name w:val="WW8Num1z0"/>
    <w:rPr>
      <w:rFonts w:ascii="Arial" w:eastAsia="Arial" w:hAnsi="Arial" w:cs="Arial"/>
      <w:spacing w:val="6"/>
      <w:sz w:val="22"/>
    </w:rPr>
  </w:style>
  <w:style w:type="character" w:customStyle="1" w:styleId="WW8Num2z0">
    <w:name w:val="WW8Num2z0"/>
    <w:rPr>
      <w:rFonts w:ascii="Arial" w:eastAsia="Arial" w:hAnsi="Arial" w:cs="Arial"/>
      <w:sz w:val="24"/>
    </w:rPr>
  </w:style>
  <w:style w:type="character" w:customStyle="1" w:styleId="WW8Num5z0">
    <w:name w:val="WW8Num5z0"/>
  </w:style>
  <w:style w:type="character" w:customStyle="1" w:styleId="WW8Num8z0">
    <w:name w:val="WW8Num8z0"/>
    <w:rPr>
      <w:rFonts w:ascii="Arial" w:eastAsia="Arial" w:hAnsi="Arial" w:cs="Arial"/>
      <w:sz w:val="22"/>
    </w:rPr>
  </w:style>
  <w:style w:type="character" w:customStyle="1" w:styleId="WW8Num9z0">
    <w:name w:val="WW8Num9z0"/>
    <w:rPr>
      <w:rFonts w:ascii="Symbol" w:eastAsia="Symbol" w:hAnsi="Symbol" w:cs="Symbol"/>
    </w:rPr>
  </w:style>
  <w:style w:type="character" w:customStyle="1" w:styleId="WW8Num9z1">
    <w:name w:val="WW8Num9z1"/>
    <w:rPr>
      <w:rFonts w:ascii="Courier New" w:eastAsia="Courier New" w:hAnsi="Courier New" w:cs="Courier New"/>
    </w:rPr>
  </w:style>
  <w:style w:type="character" w:customStyle="1" w:styleId="WW8Num9z2">
    <w:name w:val="WW8Num9z2"/>
    <w:rPr>
      <w:rFonts w:ascii="Wingdings" w:eastAsia="Wingdings" w:hAnsi="Wingdings" w:cs="Wingdings"/>
    </w:rPr>
  </w:style>
  <w:style w:type="character" w:customStyle="1" w:styleId="WW8Num14z0">
    <w:name w:val="WW8Num14z0"/>
  </w:style>
  <w:style w:type="character" w:customStyle="1" w:styleId="Fuentedeencabezadopredeter">
    <w:name w:val="Fuente de encabezado predeter."/>
  </w:style>
  <w:style w:type="character" w:customStyle="1" w:styleId="EquationCaption">
    <w:name w:val="_Equation Caption"/>
  </w:style>
  <w:style w:type="character" w:styleId="Nmerodepgina">
    <w:name w:val="page number"/>
    <w:rPr>
      <w:rFonts w:cs="Times New Roman"/>
    </w:rPr>
  </w:style>
  <w:style w:type="character" w:customStyle="1" w:styleId="Internetlink">
    <w:name w:val="Internet link"/>
    <w:rPr>
      <w:color w:val="0000FF"/>
      <w:u w:val="single"/>
    </w:rPr>
  </w:style>
  <w:style w:type="character" w:customStyle="1" w:styleId="StrongEmphasis">
    <w:name w:val="Strong Emphasis"/>
    <w:rPr>
      <w:b/>
    </w:rPr>
  </w:style>
  <w:style w:type="character" w:customStyle="1" w:styleId="CharacterStyle1">
    <w:name w:val="Character Style 1"/>
    <w:rPr>
      <w:rFonts w:ascii="Bookman Old Style" w:eastAsia="Bookman Old Style" w:hAnsi="Bookman Old Style" w:cs="Bookman Old Style"/>
      <w:sz w:val="22"/>
    </w:rPr>
  </w:style>
  <w:style w:type="character" w:customStyle="1" w:styleId="CharacterStyle2">
    <w:name w:val="Character Style 2"/>
    <w:rPr>
      <w:sz w:val="26"/>
    </w:rPr>
  </w:style>
  <w:style w:type="character" w:styleId="Refdecomentario">
    <w:name w:val="annotation reference"/>
    <w:rPr>
      <w:rFonts w:cs="Times New Roman"/>
      <w:sz w:val="16"/>
      <w:szCs w:val="16"/>
    </w:rPr>
  </w:style>
  <w:style w:type="character" w:customStyle="1" w:styleId="AsuntodelcomentarioCar">
    <w:name w:val="Asunto del comentario Car"/>
    <w:rPr>
      <w:rFonts w:ascii="Arial" w:eastAsia="Arial" w:hAnsi="Arial" w:cs="Mangal"/>
      <w:b/>
      <w:bCs/>
      <w:sz w:val="18"/>
      <w:szCs w:val="18"/>
      <w:lang w:bidi="ar-SA"/>
    </w:rPr>
  </w:style>
  <w:style w:type="character" w:customStyle="1" w:styleId="StandardCar">
    <w:name w:val="Standard Car"/>
    <w:rPr>
      <w:rFonts w:ascii="Courier New" w:eastAsia="Courier New" w:hAnsi="Courier New" w:cs="Courier New"/>
      <w:sz w:val="20"/>
      <w:szCs w:val="20"/>
      <w:lang w:bidi="ar-SA"/>
    </w:rPr>
  </w:style>
  <w:style w:type="character" w:customStyle="1" w:styleId="HTMLconformatoprevioCar">
    <w:name w:val="HTML con formato previo Car"/>
    <w:basedOn w:val="Fuentedeprrafopredeter"/>
    <w:rPr>
      <w:rFonts w:ascii="Courier New" w:eastAsia="Courier New" w:hAnsi="Courier New" w:cs="Courier New"/>
    </w:rPr>
  </w:style>
  <w:style w:type="character" w:styleId="Hipervnculo">
    <w:name w:val="Hyperlink"/>
    <w:basedOn w:val="Fuentedeprrafopredeter"/>
    <w:rPr>
      <w:color w:val="0000FF"/>
      <w:u w:val="single"/>
    </w:rPr>
  </w:style>
  <w:style w:type="character" w:customStyle="1" w:styleId="TextonotaalfinalCar">
    <w:name w:val="Texto nota al final Car"/>
    <w:basedOn w:val="Fuentedeprrafopredeter"/>
    <w:rPr>
      <w:rFonts w:cs="Mangal"/>
      <w:kern w:val="3"/>
      <w:szCs w:val="18"/>
      <w:lang w:val="es-ES" w:eastAsia="zh-CN" w:bidi="hi-IN"/>
    </w:rPr>
  </w:style>
  <w:style w:type="character" w:styleId="Refdenotaalfinal">
    <w:name w:val="endnote reference"/>
    <w:basedOn w:val="Fuentedeprrafopredeter"/>
    <w:rPr>
      <w:position w:val="0"/>
      <w:vertAlign w:val="superscript"/>
    </w:rPr>
  </w:style>
  <w:style w:type="character" w:customStyle="1" w:styleId="TextonotapieCar">
    <w:name w:val="Texto nota pie Car"/>
    <w:basedOn w:val="Fuentedeprrafopredeter"/>
    <w:rPr>
      <w:rFonts w:cs="Mangal"/>
      <w:kern w:val="3"/>
      <w:szCs w:val="18"/>
      <w:lang w:val="es-ES" w:eastAsia="zh-CN" w:bidi="hi-IN"/>
    </w:rPr>
  </w:style>
  <w:style w:type="character" w:styleId="Refdenotaalpie">
    <w:name w:val="footnote reference"/>
    <w:basedOn w:val="Fuentedeprrafopredeter"/>
    <w:rPr>
      <w:position w:val="0"/>
      <w:vertAlign w:val="superscript"/>
    </w:rPr>
  </w:style>
  <w:style w:type="character" w:styleId="Textoennegrita">
    <w:name w:val="Strong"/>
    <w:basedOn w:val="Fuentedeprrafopredeter"/>
    <w:rPr>
      <w:b/>
      <w:bCs/>
    </w:rPr>
  </w:style>
  <w:style w:type="character" w:customStyle="1" w:styleId="PrrafodelistaCar">
    <w:name w:val="Párrafo de lista Car"/>
    <w:rPr>
      <w:rFonts w:ascii="Courier New" w:eastAsia="Courier New" w:hAnsi="Courier New" w:cs="Courier New"/>
      <w:kern w:val="3"/>
      <w:sz w:val="24"/>
      <w:lang w:val="es-ES" w:eastAsia="zh-CN"/>
    </w:rPr>
  </w:style>
  <w:style w:type="character" w:customStyle="1" w:styleId="Normal1Car">
    <w:name w:val="Normal 1 Car"/>
    <w:basedOn w:val="Fuentedeprrafopredeter"/>
    <w:rPr>
      <w:rFonts w:ascii="Times New Roman" w:eastAsia="MS Mincho" w:hAnsi="Times New Roman" w:cs="Times New Roman"/>
      <w:sz w:val="24"/>
      <w:szCs w:val="24"/>
      <w:lang w:eastAsia="es-ES"/>
    </w:rPr>
  </w:style>
  <w:style w:type="character" w:customStyle="1" w:styleId="ANINormalCar">
    <w:name w:val="ANI Normal Car"/>
    <w:rPr>
      <w:rFonts w:ascii="Arial Narrow" w:eastAsia="Arial Narrow" w:hAnsi="Arial Narrow" w:cs="Arial Narrow"/>
      <w:color w:val="000000"/>
      <w:sz w:val="24"/>
      <w:lang w:eastAsia="en-US"/>
    </w:rPr>
  </w:style>
  <w:style w:type="character" w:customStyle="1" w:styleId="Mencinsinresolver1">
    <w:name w:val="Mención sin resolver1"/>
    <w:rPr>
      <w:color w:val="808080"/>
      <w:shd w:val="clear" w:color="auto" w:fill="E6E6E6"/>
    </w:rPr>
  </w:style>
  <w:style w:type="character" w:customStyle="1" w:styleId="TextoindependienteCar">
    <w:name w:val="Texto independiente Car"/>
    <w:basedOn w:val="Fuentedeprrafopredeter"/>
    <w:rPr>
      <w:rFonts w:ascii="Arial" w:eastAsia="Arial" w:hAnsi="Arial" w:cs="Arial"/>
      <w:lang w:val="es-ES" w:eastAsia="es-ES"/>
    </w:rPr>
  </w:style>
  <w:style w:type="character" w:customStyle="1" w:styleId="Fuentedeprrafopredeter0">
    <w:name w:val="Fuente de párrafo predeter"/>
  </w:style>
  <w:style w:type="character" w:styleId="Textodelmarcadordeposicin">
    <w:name w:val="Placeholder Text"/>
    <w:basedOn w:val="Fuentedeprrafopredeter"/>
    <w:rPr>
      <w:rFonts w:cs="Times New Roman"/>
      <w:color w:val="808080"/>
    </w:rPr>
  </w:style>
  <w:style w:type="character" w:customStyle="1" w:styleId="spelle">
    <w:name w:val="spelle"/>
    <w:basedOn w:val="Fuentedeprrafopredeter"/>
    <w:rPr>
      <w:rFonts w:cs="Times New Roman"/>
    </w:rPr>
  </w:style>
  <w:style w:type="character" w:customStyle="1" w:styleId="normaltextrun">
    <w:name w:val="normaltextrun"/>
    <w:basedOn w:val="Fuentedeprrafopredeter"/>
    <w:rPr>
      <w:rFonts w:cs="Times New Roman"/>
    </w:rPr>
  </w:style>
  <w:style w:type="character" w:customStyle="1" w:styleId="eop">
    <w:name w:val="eop"/>
    <w:basedOn w:val="Fuentedeprrafopredeter"/>
    <w:rPr>
      <w:rFonts w:cs="Times New Roman"/>
    </w:rPr>
  </w:style>
  <w:style w:type="character" w:customStyle="1" w:styleId="tabchar">
    <w:name w:val="tabchar"/>
    <w:basedOn w:val="Fuentedeprrafopredeter"/>
    <w:rPr>
      <w:rFonts w:cs="Times New Roman"/>
    </w:rPr>
  </w:style>
  <w:style w:type="character" w:customStyle="1" w:styleId="scxw228817621">
    <w:name w:val="scxw228817621"/>
    <w:basedOn w:val="Fuentedeprrafopredeter"/>
  </w:style>
  <w:style w:type="character" w:customStyle="1" w:styleId="CuerpodeltextoNegrita">
    <w:name w:val="Cuerpo del texto + Negrita"/>
    <w:rPr>
      <w:rFonts w:ascii="Arial" w:eastAsia="Arial" w:hAnsi="Arial" w:cs="Arial"/>
      <w:b/>
      <w:bCs/>
      <w:sz w:val="17"/>
      <w:szCs w:val="17"/>
      <w:shd w:val="clear" w:color="auto" w:fill="FFFFFF"/>
    </w:rPr>
  </w:style>
  <w:style w:type="character" w:customStyle="1" w:styleId="Mencinsinresolver2">
    <w:name w:val="Mención sin resolver2"/>
    <w:basedOn w:val="Fuentedeprrafopredeter"/>
    <w:rPr>
      <w:color w:val="605E5C"/>
      <w:shd w:val="clear" w:color="auto" w:fill="E1DFDD"/>
    </w:rPr>
  </w:style>
  <w:style w:type="character" w:customStyle="1" w:styleId="SangradetextonormalCar">
    <w:name w:val="Sangría de texto normal Car"/>
    <w:basedOn w:val="Fuentedeprrafopredeter"/>
    <w:rPr>
      <w:rFonts w:ascii="Times New Roman" w:eastAsia="Times New Roman" w:hAnsi="Times New Roman" w:cs="Times New Roman"/>
      <w:lang w:eastAsia="es-ES"/>
    </w:rPr>
  </w:style>
  <w:style w:type="character" w:customStyle="1" w:styleId="EpgrafeCar">
    <w:name w:val="Epígrafe Car"/>
    <w:rPr>
      <w:rFonts w:cs="Mangal"/>
      <w:i/>
      <w:iCs/>
      <w:color w:val="1F497D"/>
      <w:kern w:val="3"/>
      <w:sz w:val="18"/>
      <w:szCs w:val="16"/>
      <w:lang w:val="es-ES" w:eastAsia="zh-CN" w:bidi="hi-IN"/>
    </w:rPr>
  </w:style>
  <w:style w:type="character" w:customStyle="1" w:styleId="Mencionar1">
    <w:name w:val="Mencionar1"/>
    <w:basedOn w:val="Fuentedeprrafopredeter"/>
    <w:rPr>
      <w:color w:val="2B579A"/>
      <w:shd w:val="clear" w:color="auto" w:fill="E1DFDD"/>
    </w:rPr>
  </w:style>
  <w:style w:type="character" w:styleId="Hipervnculovisitado">
    <w:name w:val="FollowedHyperlink"/>
    <w:basedOn w:val="Fuentedeprrafopredeter"/>
    <w:rPr>
      <w:color w:val="800080"/>
      <w:u w:val="single"/>
    </w:rPr>
  </w:style>
  <w:style w:type="character" w:styleId="Mencinsinresolver">
    <w:name w:val="Unresolved Mention"/>
    <w:basedOn w:val="Fuentedeprrafopredeter"/>
    <w:rPr>
      <w:color w:val="605E5C"/>
      <w:shd w:val="clear" w:color="auto" w:fill="E1DFDD"/>
    </w:rPr>
  </w:style>
  <w:style w:type="character" w:styleId="SmartLink">
    <w:name w:val="Smart Link"/>
    <w:basedOn w:val="Fuentedeprrafopredeter"/>
    <w:rPr>
      <w:color w:val="0000FF"/>
      <w:u w:val="single"/>
      <w:shd w:val="clear" w:color="auto" w:fill="F3F2F1"/>
    </w:rPr>
  </w:style>
  <w:style w:type="character" w:customStyle="1" w:styleId="Footnoteanchor">
    <w:name w:val="Footnote anchor"/>
    <w:rPr>
      <w:position w:val="0"/>
      <w:vertAlign w:val="superscript"/>
    </w:rPr>
  </w:style>
  <w:style w:type="character" w:customStyle="1" w:styleId="FootnoteSymbol">
    <w:name w:val="Footnote Symbol"/>
  </w:style>
  <w:style w:type="character" w:customStyle="1" w:styleId="Endnoteanchor">
    <w:name w:val="Endnote anchor"/>
    <w:rPr>
      <w:position w:val="0"/>
      <w:vertAlign w:val="superscript"/>
    </w:rPr>
  </w:style>
  <w:style w:type="character" w:customStyle="1" w:styleId="EndnoteSymbol">
    <w:name w:val="Endnote Symbol"/>
  </w:style>
  <w:style w:type="numbering" w:customStyle="1" w:styleId="WW8Num2">
    <w:name w:val="WW8Num2"/>
    <w:basedOn w:val="Sinlista"/>
    <w:pPr>
      <w:numPr>
        <w:numId w:val="1"/>
      </w:numPr>
    </w:pPr>
  </w:style>
  <w:style w:type="numbering" w:customStyle="1" w:styleId="WW8Num14">
    <w:name w:val="WW8Num14"/>
    <w:basedOn w:val="Sinlista"/>
    <w:pPr>
      <w:numPr>
        <w:numId w:val="2"/>
      </w:numPr>
    </w:pPr>
  </w:style>
  <w:style w:type="numbering" w:customStyle="1" w:styleId="WW8Num1">
    <w:name w:val="WW8Num1"/>
    <w:basedOn w:val="Sinlista"/>
    <w:pPr>
      <w:numPr>
        <w:numId w:val="3"/>
      </w:numPr>
    </w:pPr>
  </w:style>
  <w:style w:type="numbering" w:customStyle="1" w:styleId="WW8Num10">
    <w:name w:val="WW8Num10"/>
    <w:basedOn w:val="Sinlista"/>
    <w:pPr>
      <w:numPr>
        <w:numId w:val="4"/>
      </w:numPr>
    </w:pPr>
  </w:style>
  <w:style w:type="numbering" w:customStyle="1" w:styleId="WW8Num18">
    <w:name w:val="WW8Num18"/>
    <w:basedOn w:val="Sinlista"/>
    <w:pPr>
      <w:numPr>
        <w:numId w:val="5"/>
      </w:numPr>
    </w:pPr>
  </w:style>
  <w:style w:type="numbering" w:customStyle="1" w:styleId="WW8Num8">
    <w:name w:val="WW8Num8"/>
    <w:basedOn w:val="Sinlista"/>
    <w:pPr>
      <w:numPr>
        <w:numId w:val="6"/>
      </w:numPr>
    </w:pPr>
  </w:style>
  <w:style w:type="numbering" w:customStyle="1" w:styleId="WW8Num3">
    <w:name w:val="WW8Num3"/>
    <w:basedOn w:val="Sinlista"/>
    <w:pPr>
      <w:numPr>
        <w:numId w:val="7"/>
      </w:numPr>
    </w:pPr>
  </w:style>
  <w:style w:type="numbering" w:customStyle="1" w:styleId="WW8Num4">
    <w:name w:val="WW8Num4"/>
    <w:basedOn w:val="Sinlista"/>
    <w:pPr>
      <w:numPr>
        <w:numId w:val="8"/>
      </w:numPr>
    </w:pPr>
  </w:style>
  <w:style w:type="numbering" w:customStyle="1" w:styleId="WW8Num7">
    <w:name w:val="WW8Num7"/>
    <w:basedOn w:val="Sinlista"/>
    <w:pPr>
      <w:numPr>
        <w:numId w:val="9"/>
      </w:numPr>
    </w:pPr>
  </w:style>
  <w:style w:type="numbering" w:customStyle="1" w:styleId="WW8Num5">
    <w:name w:val="WW8Num5"/>
    <w:basedOn w:val="Sinlista"/>
    <w:pPr>
      <w:numPr>
        <w:numId w:val="10"/>
      </w:numPr>
    </w:pPr>
  </w:style>
  <w:style w:type="numbering" w:customStyle="1" w:styleId="WW8Num13">
    <w:name w:val="WW8Num13"/>
    <w:basedOn w:val="Sinlista"/>
    <w:pPr>
      <w:numPr>
        <w:numId w:val="11"/>
      </w:numPr>
    </w:pPr>
  </w:style>
  <w:style w:type="numbering" w:customStyle="1" w:styleId="WW8Num6">
    <w:name w:val="WW8Num6"/>
    <w:basedOn w:val="Sinlista"/>
    <w:pPr>
      <w:numPr>
        <w:numId w:val="12"/>
      </w:numPr>
    </w:pPr>
  </w:style>
  <w:style w:type="numbering" w:customStyle="1" w:styleId="WW8Num12">
    <w:name w:val="WW8Num12"/>
    <w:basedOn w:val="Sinlista"/>
    <w:pPr>
      <w:numPr>
        <w:numId w:val="13"/>
      </w:numPr>
    </w:pPr>
  </w:style>
  <w:style w:type="numbering" w:customStyle="1" w:styleId="WW8Num11">
    <w:name w:val="WW8Num11"/>
    <w:basedOn w:val="Sinlista"/>
    <w:pPr>
      <w:numPr>
        <w:numId w:val="14"/>
      </w:numPr>
    </w:pPr>
  </w:style>
  <w:style w:type="numbering" w:customStyle="1" w:styleId="WW8Num15">
    <w:name w:val="WW8Num15"/>
    <w:basedOn w:val="Sinlista"/>
    <w:pPr>
      <w:numPr>
        <w:numId w:val="15"/>
      </w:numPr>
    </w:pPr>
  </w:style>
  <w:style w:type="numbering" w:customStyle="1" w:styleId="WW8Num16">
    <w:name w:val="WW8Num16"/>
    <w:basedOn w:val="Sinlista"/>
    <w:pPr>
      <w:numPr>
        <w:numId w:val="16"/>
      </w:numPr>
    </w:pPr>
  </w:style>
  <w:style w:type="numbering" w:customStyle="1" w:styleId="WW8Num19">
    <w:name w:val="WW8Num19"/>
    <w:basedOn w:val="Sinlista"/>
    <w:pPr>
      <w:numPr>
        <w:numId w:val="17"/>
      </w:numPr>
    </w:pPr>
  </w:style>
  <w:style w:type="numbering" w:customStyle="1" w:styleId="WW8Num9">
    <w:name w:val="WW8Num9"/>
    <w:basedOn w:val="Sinlista"/>
    <w:pPr>
      <w:numPr>
        <w:numId w:val="18"/>
      </w:numPr>
    </w:pPr>
  </w:style>
  <w:style w:type="numbering" w:customStyle="1" w:styleId="WW8Num17">
    <w:name w:val="WW8Num17"/>
    <w:basedOn w:val="Sinlista"/>
    <w:pPr>
      <w:numPr>
        <w:numId w:val="1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4453005">
      <w:bodyDiv w:val="1"/>
      <w:marLeft w:val="0"/>
      <w:marRight w:val="0"/>
      <w:marTop w:val="0"/>
      <w:marBottom w:val="0"/>
      <w:divBdr>
        <w:top w:val="none" w:sz="0" w:space="0" w:color="auto"/>
        <w:left w:val="none" w:sz="0" w:space="0" w:color="auto"/>
        <w:bottom w:val="none" w:sz="0" w:space="0" w:color="auto"/>
        <w:right w:val="none" w:sz="0" w:space="0" w:color="auto"/>
      </w:divBdr>
    </w:div>
    <w:div w:id="398947407">
      <w:bodyDiv w:val="1"/>
      <w:marLeft w:val="0"/>
      <w:marRight w:val="0"/>
      <w:marTop w:val="0"/>
      <w:marBottom w:val="0"/>
      <w:divBdr>
        <w:top w:val="none" w:sz="0" w:space="0" w:color="auto"/>
        <w:left w:val="none" w:sz="0" w:space="0" w:color="auto"/>
        <w:bottom w:val="none" w:sz="0" w:space="0" w:color="auto"/>
        <w:right w:val="none" w:sz="0" w:space="0" w:color="auto"/>
      </w:divBdr>
    </w:div>
    <w:div w:id="407851610">
      <w:bodyDiv w:val="1"/>
      <w:marLeft w:val="0"/>
      <w:marRight w:val="0"/>
      <w:marTop w:val="0"/>
      <w:marBottom w:val="0"/>
      <w:divBdr>
        <w:top w:val="none" w:sz="0" w:space="0" w:color="auto"/>
        <w:left w:val="none" w:sz="0" w:space="0" w:color="auto"/>
        <w:bottom w:val="none" w:sz="0" w:space="0" w:color="auto"/>
        <w:right w:val="none" w:sz="0" w:space="0" w:color="auto"/>
      </w:divBdr>
    </w:div>
    <w:div w:id="775977575">
      <w:bodyDiv w:val="1"/>
      <w:marLeft w:val="0"/>
      <w:marRight w:val="0"/>
      <w:marTop w:val="0"/>
      <w:marBottom w:val="0"/>
      <w:divBdr>
        <w:top w:val="none" w:sz="0" w:space="0" w:color="auto"/>
        <w:left w:val="none" w:sz="0" w:space="0" w:color="auto"/>
        <w:bottom w:val="none" w:sz="0" w:space="0" w:color="auto"/>
        <w:right w:val="none" w:sz="0" w:space="0" w:color="auto"/>
      </w:divBdr>
    </w:div>
    <w:div w:id="1148012182">
      <w:bodyDiv w:val="1"/>
      <w:marLeft w:val="0"/>
      <w:marRight w:val="0"/>
      <w:marTop w:val="0"/>
      <w:marBottom w:val="0"/>
      <w:divBdr>
        <w:top w:val="none" w:sz="0" w:space="0" w:color="auto"/>
        <w:left w:val="none" w:sz="0" w:space="0" w:color="auto"/>
        <w:bottom w:val="none" w:sz="0" w:space="0" w:color="auto"/>
        <w:right w:val="none" w:sz="0" w:space="0" w:color="auto"/>
      </w:divBdr>
    </w:div>
    <w:div w:id="1402558385">
      <w:bodyDiv w:val="1"/>
      <w:marLeft w:val="0"/>
      <w:marRight w:val="0"/>
      <w:marTop w:val="0"/>
      <w:marBottom w:val="0"/>
      <w:divBdr>
        <w:top w:val="none" w:sz="0" w:space="0" w:color="auto"/>
        <w:left w:val="none" w:sz="0" w:space="0" w:color="auto"/>
        <w:bottom w:val="none" w:sz="0" w:space="0" w:color="auto"/>
        <w:right w:val="none" w:sz="0" w:space="0" w:color="auto"/>
      </w:divBdr>
    </w:div>
    <w:div w:id="1678002098">
      <w:bodyDiv w:val="1"/>
      <w:marLeft w:val="0"/>
      <w:marRight w:val="0"/>
      <w:marTop w:val="0"/>
      <w:marBottom w:val="0"/>
      <w:divBdr>
        <w:top w:val="none" w:sz="0" w:space="0" w:color="auto"/>
        <w:left w:val="none" w:sz="0" w:space="0" w:color="auto"/>
        <w:bottom w:val="none" w:sz="0" w:space="0" w:color="auto"/>
        <w:right w:val="none" w:sz="0" w:space="0" w:color="auto"/>
      </w:divBdr>
    </w:div>
    <w:div w:id="20630164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lexbase.biz/lexbase/normas/leyes/2002/L0787de2002.ht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lexbase.biz/lexbase/normas/leyes/1993/L0105de1993.ht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www.lexbase.biz/lexbase/normas/decretos/2011/D0087de2011.htm" TargetMode="External"/><Relationship Id="rId4" Type="http://schemas.openxmlformats.org/officeDocument/2006/relationships/webSettings" Target="webSettings.xml"/><Relationship Id="rId9" Type="http://schemas.openxmlformats.org/officeDocument/2006/relationships/hyperlink" Target="http://www.lexbase.biz/lexbase/normas/decretos/2011/D0087de2011.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benavides\OneDrive%20-%20Ministerio%20de%20Transporte\Pr&#243;rrogas%20Peajes\Resoluci&#243;n%20tarifa%20diferencial%20La%20Platanal-Pailitas.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Resolución tarifa diferencial La Platanal-Pailitas</Template>
  <TotalTime>5</TotalTime>
  <Pages>7</Pages>
  <Words>3530</Words>
  <Characters>19416</Characters>
  <Application>Microsoft Office Word</Application>
  <DocSecurity>0</DocSecurity>
  <Lines>161</Lines>
  <Paragraphs>45</Paragraphs>
  <ScaleCrop>false</ScaleCrop>
  <HeadingPairs>
    <vt:vector size="2" baseType="variant">
      <vt:variant>
        <vt:lpstr>Título</vt:lpstr>
      </vt:variant>
      <vt:variant>
        <vt:i4>1</vt:i4>
      </vt:variant>
    </vt:vector>
  </HeadingPairs>
  <TitlesOfParts>
    <vt:vector size="1" baseType="lpstr">
      <vt:lpstr>SERVI001</vt:lpstr>
    </vt:vector>
  </TitlesOfParts>
  <Company/>
  <LinksUpToDate>false</LinksUpToDate>
  <CharactersWithSpaces>22901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SERVI001</dc:title>
  <dc:creator>Daniela Alejandra Benavides Nastar</dc:creator>
  <cp:lastModifiedBy>Daniela Alejandra Benavides Nastar</cp:lastModifiedBy>
  <cp:revision>2</cp:revision>
  <cp:lastPrinted>2020-04-03T23:17:00Z</cp:lastPrinted>
  <dcterms:created xsi:type="dcterms:W3CDTF">2023-03-14T18:05:00Z</dcterms:created>
  <dcterms:modified xsi:type="dcterms:W3CDTF">2023-03-14T18:10:00Z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ies>
</file>