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C604142" w14:textId="77777777" w:rsidR="0092444B" w:rsidRDefault="0092444B">
      <w:pPr>
        <w:ind w:left="-142" w:right="-86"/>
        <w:rPr>
          <w:rFonts w:ascii="Work Sans" w:hAnsi="Work Sans"/>
          <w:sz w:val="20"/>
          <w:szCs w:val="20"/>
        </w:rPr>
      </w:pPr>
    </w:p>
    <w:p w14:paraId="63B42B3C" w14:textId="77777777" w:rsidR="0092444B" w:rsidRDefault="00EB4521">
      <w:pPr>
        <w:jc w:val="center"/>
      </w:pPr>
      <w:r>
        <w:rPr>
          <w:rFonts w:ascii="Work Sans" w:hAnsi="Work Sans" w:cs="Cambria"/>
          <w:b/>
          <w:bCs/>
          <w:color w:val="000000"/>
          <w:sz w:val="20"/>
          <w:szCs w:val="20"/>
        </w:rPr>
        <w:t xml:space="preserve">LA MINISTRA DE TRANSPORTE </w:t>
      </w:r>
    </w:p>
    <w:p w14:paraId="11EB87B9" w14:textId="77777777" w:rsidR="0092444B" w:rsidRDefault="0092444B">
      <w:pPr>
        <w:tabs>
          <w:tab w:val="left" w:pos="1164"/>
          <w:tab w:val="left" w:pos="3765"/>
        </w:tabs>
        <w:rPr>
          <w:rFonts w:ascii="Work Sans" w:hAnsi="Work Sans" w:cs="Cambria"/>
          <w:sz w:val="20"/>
          <w:szCs w:val="20"/>
        </w:rPr>
      </w:pPr>
    </w:p>
    <w:p w14:paraId="13C27F67" w14:textId="77777777" w:rsidR="0092444B" w:rsidRDefault="00EB4521">
      <w:pPr>
        <w:tabs>
          <w:tab w:val="left" w:pos="1164"/>
          <w:tab w:val="left" w:pos="3765"/>
        </w:tabs>
        <w:jc w:val="both"/>
      </w:pPr>
      <w:r>
        <w:rPr>
          <w:rFonts w:ascii="Work Sans" w:hAnsi="Work Sans" w:cs="Cambria"/>
          <w:sz w:val="20"/>
          <w:szCs w:val="20"/>
          <w:lang w:eastAsia="es-CO"/>
        </w:rPr>
        <w:t xml:space="preserve">En ejercicio de las facultades legales y en especial las conferidas por el artículo 21 de la Ley 105 de 1993 modificado parcialmente por el artículo 1 de la Ley 787 de 2002, el numeral 6.15 del </w:t>
      </w:r>
      <w:r>
        <w:rPr>
          <w:rFonts w:ascii="Work Sans" w:hAnsi="Work Sans" w:cs="Cambria"/>
          <w:sz w:val="20"/>
          <w:szCs w:val="20"/>
          <w:lang w:eastAsia="es-CO"/>
        </w:rPr>
        <w:t>artículo 6 del Decreto 087 de 2011,</w:t>
      </w:r>
      <w:r>
        <w:rPr>
          <w:rFonts w:ascii="Work Sans" w:hAnsi="Work Sans" w:cs="Cambria"/>
          <w:sz w:val="20"/>
          <w:szCs w:val="20"/>
        </w:rPr>
        <w:t xml:space="preserve"> y</w:t>
      </w:r>
    </w:p>
    <w:p w14:paraId="279E58ED" w14:textId="77777777" w:rsidR="0092444B" w:rsidRDefault="0092444B">
      <w:pPr>
        <w:jc w:val="both"/>
        <w:rPr>
          <w:rFonts w:ascii="Work Sans" w:hAnsi="Work Sans" w:cs="Cambria"/>
          <w:sz w:val="20"/>
          <w:szCs w:val="20"/>
        </w:rPr>
      </w:pPr>
    </w:p>
    <w:p w14:paraId="00C65305" w14:textId="77777777" w:rsidR="0092444B" w:rsidRDefault="00EB4521">
      <w:pPr>
        <w:autoSpaceDE w:val="0"/>
        <w:ind w:right="-660"/>
        <w:jc w:val="center"/>
        <w:rPr>
          <w:rFonts w:ascii="Work Sans" w:hAnsi="Work Sans" w:cs="Cambria"/>
          <w:b/>
          <w:bCs/>
          <w:iCs/>
          <w:sz w:val="20"/>
          <w:szCs w:val="20"/>
        </w:rPr>
      </w:pPr>
      <w:r>
        <w:rPr>
          <w:rFonts w:ascii="Work Sans" w:hAnsi="Work Sans" w:cs="Cambria"/>
          <w:b/>
          <w:bCs/>
          <w:iCs/>
          <w:sz w:val="20"/>
          <w:szCs w:val="20"/>
        </w:rPr>
        <w:t>C O N S I D E R A N D O:</w:t>
      </w:r>
    </w:p>
    <w:p w14:paraId="536B8EE7" w14:textId="77777777" w:rsidR="0092444B" w:rsidRDefault="0092444B">
      <w:pPr>
        <w:autoSpaceDE w:val="0"/>
        <w:ind w:right="-660"/>
        <w:rPr>
          <w:rFonts w:ascii="Work Sans" w:hAnsi="Work Sans" w:cs="Cambria"/>
          <w:b/>
          <w:bCs/>
          <w:iCs/>
          <w:sz w:val="20"/>
          <w:szCs w:val="20"/>
        </w:rPr>
      </w:pPr>
    </w:p>
    <w:p w14:paraId="60561493" w14:textId="77777777" w:rsidR="0092444B" w:rsidRDefault="00EB4521">
      <w:pPr>
        <w:jc w:val="both"/>
      </w:pPr>
      <w:bookmarkStart w:id="0" w:name="_Hlk61013866"/>
      <w:r>
        <w:rPr>
          <w:rFonts w:ascii="Work Sans" w:eastAsia="Work Sans" w:hAnsi="Work Sans" w:cs="Work Sans"/>
          <w:sz w:val="20"/>
          <w:szCs w:val="20"/>
        </w:rPr>
        <w:t xml:space="preserve">Que la Ley 105 de 1993 </w:t>
      </w:r>
      <w:r>
        <w:rPr>
          <w:rFonts w:ascii="Work Sans" w:eastAsia="Work Sans" w:hAnsi="Work Sans" w:cs="Work Sans"/>
          <w:i/>
          <w:sz w:val="20"/>
          <w:szCs w:val="20"/>
        </w:rPr>
        <w:t xml:space="preserve">"Por la cual se dictan disposiciones básicas sobre el transporte, se redistribuyen competencias y recursos entre la Nación y las Entidades Territoriales, se reglamenta </w:t>
      </w:r>
      <w:r>
        <w:rPr>
          <w:rFonts w:ascii="Work Sans" w:eastAsia="Work Sans" w:hAnsi="Work Sans" w:cs="Work Sans"/>
          <w:i/>
          <w:sz w:val="20"/>
          <w:szCs w:val="20"/>
        </w:rPr>
        <w:t>la planeación en el sector transporte y se dictan otras disposiciones</w:t>
      </w:r>
      <w:r>
        <w:rPr>
          <w:rFonts w:ascii="Work Sans" w:eastAsia="Work Sans" w:hAnsi="Work Sans" w:cs="Work Sans"/>
          <w:sz w:val="20"/>
          <w:szCs w:val="20"/>
        </w:rPr>
        <w:t>" en su artículo 21 modificado por el artículo 1° de la Ley 787 de 2002, establece:</w:t>
      </w:r>
    </w:p>
    <w:p w14:paraId="61603CD8" w14:textId="77777777" w:rsidR="0092444B" w:rsidRDefault="0092444B">
      <w:pPr>
        <w:jc w:val="both"/>
        <w:rPr>
          <w:rFonts w:ascii="Work Sans" w:eastAsia="Work Sans" w:hAnsi="Work Sans" w:cs="Work Sans"/>
          <w:sz w:val="20"/>
          <w:szCs w:val="20"/>
        </w:rPr>
      </w:pPr>
    </w:p>
    <w:p w14:paraId="440B0475" w14:textId="77777777" w:rsidR="0092444B" w:rsidRDefault="00EB4521">
      <w:pPr>
        <w:ind w:left="567" w:right="616"/>
        <w:jc w:val="both"/>
        <w:rPr>
          <w:rFonts w:ascii="Work Sans" w:eastAsia="Work Sans" w:hAnsi="Work Sans" w:cs="Work Sans"/>
          <w:i/>
          <w:sz w:val="18"/>
          <w:szCs w:val="18"/>
        </w:rPr>
      </w:pPr>
      <w:r>
        <w:rPr>
          <w:rFonts w:ascii="Work Sans" w:eastAsia="Work Sans" w:hAnsi="Work Sans" w:cs="Work Sans"/>
          <w:i/>
          <w:sz w:val="18"/>
          <w:szCs w:val="18"/>
        </w:rPr>
        <w:t xml:space="preserve">“Artículo 21. Tasas, tarifas y peajes en la infraestructura de transporte a cargo de la Nación. </w:t>
      </w:r>
      <w:r>
        <w:rPr>
          <w:rFonts w:ascii="Work Sans" w:eastAsia="Work Sans" w:hAnsi="Work Sans" w:cs="Work Sans"/>
          <w:i/>
          <w:sz w:val="18"/>
          <w:szCs w:val="18"/>
        </w:rPr>
        <w:t>Para la construcción y conservación de la infraestructura de transporte a cargo de la Nación, esta contará con los recursos que se apropien en el Presupuesto Nacional y además cobrará el uso de las obras de infraestructura de transporte a los usuarios, bus</w:t>
      </w:r>
      <w:r>
        <w:rPr>
          <w:rFonts w:ascii="Work Sans" w:eastAsia="Work Sans" w:hAnsi="Work Sans" w:cs="Work Sans"/>
          <w:i/>
          <w:sz w:val="18"/>
          <w:szCs w:val="18"/>
        </w:rPr>
        <w:t xml:space="preserve">cando garantizar su adecuado mantenimiento, operación y desarrollo. </w:t>
      </w:r>
    </w:p>
    <w:p w14:paraId="75B6DC1C" w14:textId="77777777" w:rsidR="0092444B" w:rsidRDefault="0092444B">
      <w:pPr>
        <w:ind w:left="567" w:right="616"/>
        <w:jc w:val="both"/>
        <w:rPr>
          <w:rFonts w:ascii="Work Sans" w:eastAsia="Work Sans" w:hAnsi="Work Sans" w:cs="Work Sans"/>
          <w:i/>
          <w:sz w:val="18"/>
          <w:szCs w:val="18"/>
        </w:rPr>
      </w:pPr>
    </w:p>
    <w:p w14:paraId="032715B0" w14:textId="77777777" w:rsidR="0092444B" w:rsidRDefault="00EB4521">
      <w:pPr>
        <w:ind w:left="567" w:right="616"/>
        <w:jc w:val="both"/>
        <w:rPr>
          <w:rFonts w:ascii="Work Sans" w:eastAsia="Work Sans" w:hAnsi="Work Sans" w:cs="Work Sans"/>
          <w:i/>
          <w:sz w:val="18"/>
          <w:szCs w:val="18"/>
        </w:rPr>
      </w:pPr>
      <w:r>
        <w:rPr>
          <w:rFonts w:ascii="Work Sans" w:eastAsia="Work Sans" w:hAnsi="Work Sans" w:cs="Work Sans"/>
          <w:i/>
          <w:sz w:val="18"/>
          <w:szCs w:val="18"/>
        </w:rPr>
        <w:t xml:space="preserve">Para estos efectos, la Nación establecerá peajes, tarifas y tasas sobre el uso de la infraestructura nacional de transporte y los recursos provenientes de su cobro se usarán </w:t>
      </w:r>
      <w:r>
        <w:rPr>
          <w:rFonts w:ascii="Work Sans" w:eastAsia="Work Sans" w:hAnsi="Work Sans" w:cs="Work Sans"/>
          <w:i/>
          <w:sz w:val="18"/>
          <w:szCs w:val="18"/>
        </w:rPr>
        <w:t xml:space="preserve">exclusivamente para ese modo de transporte. </w:t>
      </w:r>
    </w:p>
    <w:p w14:paraId="0D77A9A1" w14:textId="77777777" w:rsidR="0092444B" w:rsidRDefault="0092444B">
      <w:pPr>
        <w:ind w:left="567" w:right="616"/>
        <w:jc w:val="both"/>
        <w:rPr>
          <w:rFonts w:ascii="Work Sans" w:eastAsia="Work Sans" w:hAnsi="Work Sans" w:cs="Work Sans"/>
          <w:i/>
          <w:sz w:val="18"/>
          <w:szCs w:val="18"/>
        </w:rPr>
      </w:pPr>
    </w:p>
    <w:p w14:paraId="42B32ACE" w14:textId="77777777" w:rsidR="0092444B" w:rsidRDefault="00EB4521">
      <w:pPr>
        <w:ind w:left="567" w:right="616"/>
        <w:jc w:val="both"/>
        <w:rPr>
          <w:rFonts w:ascii="Work Sans" w:eastAsia="Work Sans" w:hAnsi="Work Sans" w:cs="Work Sans"/>
          <w:i/>
          <w:sz w:val="18"/>
          <w:szCs w:val="18"/>
        </w:rPr>
      </w:pPr>
      <w:r>
        <w:rPr>
          <w:rFonts w:ascii="Work Sans" w:eastAsia="Work Sans" w:hAnsi="Work Sans" w:cs="Work Sans"/>
          <w:i/>
          <w:sz w:val="18"/>
          <w:szCs w:val="18"/>
        </w:rPr>
        <w:t xml:space="preserve">Todos los servicios que la Nación o sus entidades descentralizadas presten a los usuarios accesoriamente a la utilización de la infraestructura Nacional de </w:t>
      </w:r>
      <w:proofErr w:type="gramStart"/>
      <w:r>
        <w:rPr>
          <w:rFonts w:ascii="Work Sans" w:eastAsia="Work Sans" w:hAnsi="Work Sans" w:cs="Work Sans"/>
          <w:i/>
          <w:sz w:val="18"/>
          <w:szCs w:val="18"/>
        </w:rPr>
        <w:t>Transporte,</w:t>
      </w:r>
      <w:proofErr w:type="gramEnd"/>
      <w:r>
        <w:rPr>
          <w:rFonts w:ascii="Work Sans" w:eastAsia="Work Sans" w:hAnsi="Work Sans" w:cs="Work Sans"/>
          <w:i/>
          <w:sz w:val="18"/>
          <w:szCs w:val="18"/>
        </w:rPr>
        <w:t xml:space="preserve"> estarán sujetos al cobro de tasas o tarifa</w:t>
      </w:r>
      <w:r>
        <w:rPr>
          <w:rFonts w:ascii="Work Sans" w:eastAsia="Work Sans" w:hAnsi="Work Sans" w:cs="Work Sans"/>
          <w:i/>
          <w:sz w:val="18"/>
          <w:szCs w:val="18"/>
        </w:rPr>
        <w:t xml:space="preserve">s. </w:t>
      </w:r>
    </w:p>
    <w:p w14:paraId="6E7DFCD8" w14:textId="77777777" w:rsidR="0092444B" w:rsidRDefault="0092444B">
      <w:pPr>
        <w:ind w:left="567" w:right="616"/>
        <w:jc w:val="both"/>
        <w:rPr>
          <w:rFonts w:ascii="Work Sans" w:eastAsia="Work Sans" w:hAnsi="Work Sans" w:cs="Work Sans"/>
          <w:i/>
          <w:sz w:val="18"/>
          <w:szCs w:val="18"/>
        </w:rPr>
      </w:pPr>
    </w:p>
    <w:p w14:paraId="7259ECC4" w14:textId="77777777" w:rsidR="0092444B" w:rsidRDefault="00EB4521">
      <w:pPr>
        <w:ind w:left="567" w:right="616"/>
        <w:jc w:val="both"/>
        <w:rPr>
          <w:rFonts w:ascii="Work Sans" w:eastAsia="Work Sans" w:hAnsi="Work Sans" w:cs="Work Sans"/>
          <w:i/>
          <w:sz w:val="18"/>
          <w:szCs w:val="18"/>
        </w:rPr>
      </w:pPr>
      <w:r>
        <w:rPr>
          <w:rFonts w:ascii="Work Sans" w:eastAsia="Work Sans" w:hAnsi="Work Sans" w:cs="Work Sans"/>
          <w:i/>
          <w:sz w:val="18"/>
          <w:szCs w:val="18"/>
        </w:rPr>
        <w:t xml:space="preserve">Para la fijación y cobro de tasas, tarifas y peajes, se observarán los siguientes principios: </w:t>
      </w:r>
    </w:p>
    <w:p w14:paraId="7EDD169B" w14:textId="77777777" w:rsidR="0092444B" w:rsidRDefault="0092444B">
      <w:pPr>
        <w:ind w:left="567" w:right="616"/>
        <w:jc w:val="both"/>
        <w:rPr>
          <w:rFonts w:ascii="Work Sans" w:eastAsia="Work Sans" w:hAnsi="Work Sans" w:cs="Work Sans"/>
          <w:i/>
          <w:sz w:val="18"/>
          <w:szCs w:val="18"/>
        </w:rPr>
      </w:pPr>
    </w:p>
    <w:p w14:paraId="02B93ECF" w14:textId="77777777" w:rsidR="0092444B" w:rsidRDefault="00EB4521">
      <w:pPr>
        <w:ind w:left="567" w:right="616"/>
        <w:jc w:val="both"/>
        <w:rPr>
          <w:rFonts w:ascii="Work Sans" w:eastAsia="Work Sans" w:hAnsi="Work Sans" w:cs="Work Sans"/>
          <w:i/>
          <w:sz w:val="18"/>
          <w:szCs w:val="18"/>
        </w:rPr>
      </w:pPr>
      <w:r>
        <w:rPr>
          <w:rFonts w:ascii="Work Sans" w:eastAsia="Work Sans" w:hAnsi="Work Sans" w:cs="Work Sans"/>
          <w:i/>
          <w:sz w:val="18"/>
          <w:szCs w:val="18"/>
        </w:rPr>
        <w:t xml:space="preserve">a) Los ingresos provenientes de la utilización de la infraestructura de transporte, deberán garantizar su adecuado mantenimiento, operación y desarrollo; </w:t>
      </w:r>
    </w:p>
    <w:p w14:paraId="17AB407A" w14:textId="77777777" w:rsidR="0092444B" w:rsidRDefault="0092444B">
      <w:pPr>
        <w:ind w:left="567" w:right="616"/>
        <w:jc w:val="both"/>
        <w:rPr>
          <w:rFonts w:ascii="Work Sans" w:eastAsia="Work Sans" w:hAnsi="Work Sans" w:cs="Work Sans"/>
          <w:i/>
          <w:sz w:val="18"/>
          <w:szCs w:val="18"/>
        </w:rPr>
      </w:pPr>
    </w:p>
    <w:p w14:paraId="1FD5416C" w14:textId="77777777" w:rsidR="0092444B" w:rsidRDefault="00EB4521">
      <w:pPr>
        <w:ind w:left="567" w:right="616"/>
        <w:jc w:val="both"/>
        <w:rPr>
          <w:rFonts w:ascii="Work Sans" w:eastAsia="Work Sans" w:hAnsi="Work Sans" w:cs="Work Sans"/>
          <w:i/>
          <w:sz w:val="18"/>
          <w:szCs w:val="18"/>
        </w:rPr>
      </w:pPr>
      <w:r>
        <w:rPr>
          <w:rFonts w:ascii="Work Sans" w:eastAsia="Work Sans" w:hAnsi="Work Sans" w:cs="Work Sans"/>
          <w:i/>
          <w:sz w:val="18"/>
          <w:szCs w:val="18"/>
        </w:rPr>
        <w:t>b) Deberá cobrarse a todos los usuarios, con excepción de las motocicletas y bicicletas, máquinas extintoras de incendios de los Cuerpos de Bomberos Voluntarios, Cuerpo de Bomberos Oficiales, ambulancias pertenecientes a la Cruz Roja, Defensa Civil, Hospi</w:t>
      </w:r>
      <w:r>
        <w:rPr>
          <w:rFonts w:ascii="Work Sans" w:eastAsia="Work Sans" w:hAnsi="Work Sans" w:cs="Work Sans"/>
          <w:i/>
          <w:sz w:val="18"/>
          <w:szCs w:val="18"/>
        </w:rPr>
        <w:t xml:space="preserve">tales Oficiales, Vehículos de las Fuerzas Militares y de la Policía Nacional, vehículos oficiales del Instituto Nacional Penitenciario y Carcelario, </w:t>
      </w:r>
      <w:proofErr w:type="spellStart"/>
      <w:r>
        <w:rPr>
          <w:rFonts w:ascii="Work Sans" w:eastAsia="Work Sans" w:hAnsi="Work Sans" w:cs="Work Sans"/>
          <w:i/>
          <w:sz w:val="18"/>
          <w:szCs w:val="18"/>
        </w:rPr>
        <w:t>Inpec</w:t>
      </w:r>
      <w:proofErr w:type="spellEnd"/>
      <w:r>
        <w:rPr>
          <w:rFonts w:ascii="Work Sans" w:eastAsia="Work Sans" w:hAnsi="Work Sans" w:cs="Work Sans"/>
          <w:i/>
          <w:sz w:val="18"/>
          <w:szCs w:val="18"/>
        </w:rPr>
        <w:t xml:space="preserve">, vehículos oficiales del (DAS) Departamento Administrativo de Seguridad y de las demás instituciones </w:t>
      </w:r>
      <w:r>
        <w:rPr>
          <w:rFonts w:ascii="Work Sans" w:eastAsia="Work Sans" w:hAnsi="Work Sans" w:cs="Work Sans"/>
          <w:i/>
          <w:sz w:val="18"/>
          <w:szCs w:val="18"/>
        </w:rPr>
        <w:t xml:space="preserve">que prestan funciones de </w:t>
      </w:r>
      <w:proofErr w:type="spellStart"/>
      <w:r>
        <w:rPr>
          <w:rFonts w:ascii="Work Sans" w:eastAsia="Work Sans" w:hAnsi="Work Sans" w:cs="Work Sans"/>
          <w:i/>
          <w:sz w:val="18"/>
          <w:szCs w:val="18"/>
        </w:rPr>
        <w:t>Policá</w:t>
      </w:r>
      <w:proofErr w:type="spellEnd"/>
      <w:r>
        <w:rPr>
          <w:rFonts w:ascii="Work Sans" w:eastAsia="Work Sans" w:hAnsi="Work Sans" w:cs="Work Sans"/>
          <w:i/>
          <w:sz w:val="18"/>
          <w:szCs w:val="18"/>
        </w:rPr>
        <w:t xml:space="preserve"> Judicial;</w:t>
      </w:r>
    </w:p>
    <w:p w14:paraId="533B8015" w14:textId="77777777" w:rsidR="0092444B" w:rsidRDefault="0092444B">
      <w:pPr>
        <w:ind w:left="567" w:right="616"/>
        <w:jc w:val="both"/>
        <w:rPr>
          <w:rFonts w:ascii="Work Sans" w:eastAsia="Work Sans" w:hAnsi="Work Sans" w:cs="Work Sans"/>
          <w:i/>
          <w:sz w:val="18"/>
          <w:szCs w:val="18"/>
        </w:rPr>
      </w:pPr>
    </w:p>
    <w:p w14:paraId="2CAD9A25" w14:textId="77777777" w:rsidR="0092444B" w:rsidRDefault="00EB4521">
      <w:pPr>
        <w:ind w:left="567" w:right="616"/>
        <w:jc w:val="both"/>
        <w:rPr>
          <w:rFonts w:ascii="Work Sans" w:eastAsia="Work Sans" w:hAnsi="Work Sans" w:cs="Work Sans"/>
          <w:i/>
          <w:sz w:val="18"/>
          <w:szCs w:val="18"/>
        </w:rPr>
      </w:pPr>
      <w:r>
        <w:rPr>
          <w:rFonts w:ascii="Work Sans" w:eastAsia="Work Sans" w:hAnsi="Work Sans" w:cs="Work Sans"/>
          <w:i/>
          <w:sz w:val="18"/>
          <w:szCs w:val="18"/>
        </w:rPr>
        <w:t>c) El valor de las tasas o tarifas será determinado por la autoridad competente; su recaudo estará a cargo de las entidades públicas o privadas, responsables de la prestación del servicio;</w:t>
      </w:r>
    </w:p>
    <w:p w14:paraId="1AFF423A" w14:textId="77777777" w:rsidR="0092444B" w:rsidRDefault="0092444B">
      <w:pPr>
        <w:ind w:left="567" w:right="616"/>
        <w:jc w:val="both"/>
        <w:rPr>
          <w:rFonts w:ascii="Work Sans" w:eastAsia="Work Sans" w:hAnsi="Work Sans" w:cs="Work Sans"/>
          <w:i/>
          <w:sz w:val="18"/>
          <w:szCs w:val="18"/>
        </w:rPr>
      </w:pPr>
    </w:p>
    <w:p w14:paraId="4D9C7B2B" w14:textId="77777777" w:rsidR="0092444B" w:rsidRDefault="00EB4521">
      <w:pPr>
        <w:ind w:left="567" w:right="616"/>
        <w:jc w:val="both"/>
        <w:rPr>
          <w:rFonts w:ascii="Work Sans" w:eastAsia="Work Sans" w:hAnsi="Work Sans" w:cs="Work Sans"/>
          <w:i/>
          <w:sz w:val="18"/>
          <w:szCs w:val="18"/>
        </w:rPr>
      </w:pPr>
      <w:r>
        <w:rPr>
          <w:rFonts w:ascii="Work Sans" w:eastAsia="Work Sans" w:hAnsi="Work Sans" w:cs="Work Sans"/>
          <w:i/>
          <w:sz w:val="18"/>
          <w:szCs w:val="18"/>
        </w:rPr>
        <w:t>d) Las tasas de peaje s</w:t>
      </w:r>
      <w:r>
        <w:rPr>
          <w:rFonts w:ascii="Work Sans" w:eastAsia="Work Sans" w:hAnsi="Work Sans" w:cs="Work Sans"/>
          <w:i/>
          <w:sz w:val="18"/>
          <w:szCs w:val="18"/>
        </w:rPr>
        <w:t>erán diferenciales, es decir, se fijarán en proporción a las distancias recorridas, las características vehiculares y sus respectivos costos de operación;</w:t>
      </w:r>
    </w:p>
    <w:p w14:paraId="072E0122" w14:textId="77777777" w:rsidR="0092444B" w:rsidRDefault="0092444B">
      <w:pPr>
        <w:ind w:left="567" w:right="616"/>
        <w:jc w:val="both"/>
        <w:rPr>
          <w:rFonts w:ascii="Work Sans" w:eastAsia="Work Sans" w:hAnsi="Work Sans" w:cs="Work Sans"/>
          <w:i/>
          <w:sz w:val="18"/>
          <w:szCs w:val="18"/>
        </w:rPr>
      </w:pPr>
    </w:p>
    <w:p w14:paraId="0AEE2708" w14:textId="77777777" w:rsidR="0092444B" w:rsidRDefault="00EB4521">
      <w:pPr>
        <w:ind w:left="567" w:right="616"/>
        <w:jc w:val="both"/>
        <w:rPr>
          <w:rFonts w:ascii="Work Sans" w:eastAsia="Work Sans" w:hAnsi="Work Sans" w:cs="Work Sans"/>
          <w:i/>
          <w:sz w:val="18"/>
          <w:szCs w:val="18"/>
        </w:rPr>
      </w:pPr>
      <w:r>
        <w:rPr>
          <w:rFonts w:ascii="Work Sans" w:eastAsia="Work Sans" w:hAnsi="Work Sans" w:cs="Work Sans"/>
          <w:i/>
          <w:sz w:val="18"/>
          <w:szCs w:val="18"/>
        </w:rPr>
        <w:t>e) Para la determinación del valor del peaje y de las tasas de valoración en las vías nacionales, se</w:t>
      </w:r>
      <w:r>
        <w:rPr>
          <w:rFonts w:ascii="Work Sans" w:eastAsia="Work Sans" w:hAnsi="Work Sans" w:cs="Work Sans"/>
          <w:i/>
          <w:sz w:val="18"/>
          <w:szCs w:val="18"/>
        </w:rPr>
        <w:t xml:space="preserve"> tendrá en cuenta un criterio de equidad fiscal. </w:t>
      </w:r>
    </w:p>
    <w:p w14:paraId="6D5C21CA" w14:textId="77777777" w:rsidR="0092444B" w:rsidRDefault="0092444B">
      <w:pPr>
        <w:ind w:left="567" w:right="616"/>
        <w:jc w:val="both"/>
        <w:rPr>
          <w:rFonts w:ascii="Work Sans" w:eastAsia="Work Sans" w:hAnsi="Work Sans" w:cs="Work Sans"/>
          <w:i/>
          <w:sz w:val="18"/>
          <w:szCs w:val="18"/>
        </w:rPr>
      </w:pPr>
    </w:p>
    <w:p w14:paraId="028931F5" w14:textId="77777777" w:rsidR="0092444B" w:rsidRDefault="00EB4521">
      <w:pPr>
        <w:ind w:left="567" w:right="616"/>
        <w:jc w:val="both"/>
        <w:rPr>
          <w:rFonts w:ascii="Work Sans" w:eastAsia="Work Sans" w:hAnsi="Work Sans" w:cs="Work Sans"/>
          <w:i/>
          <w:sz w:val="18"/>
          <w:szCs w:val="18"/>
        </w:rPr>
      </w:pPr>
      <w:r>
        <w:rPr>
          <w:rFonts w:ascii="Work Sans" w:eastAsia="Work Sans" w:hAnsi="Work Sans" w:cs="Work Sans"/>
          <w:i/>
          <w:sz w:val="18"/>
          <w:szCs w:val="18"/>
        </w:rPr>
        <w:t>Parágrafo 1°. La Nación podrá en caso de necesidad y previo concepto del Ministerio de Transporte, apropiar recursos del Presupuesto Nacional para el mantenimiento, operación y desarrollo de la infraestruc</w:t>
      </w:r>
      <w:r>
        <w:rPr>
          <w:rFonts w:ascii="Work Sans" w:eastAsia="Work Sans" w:hAnsi="Work Sans" w:cs="Work Sans"/>
          <w:i/>
          <w:sz w:val="18"/>
          <w:szCs w:val="18"/>
        </w:rPr>
        <w:t>tura de transporte.</w:t>
      </w:r>
    </w:p>
    <w:p w14:paraId="644E22F3" w14:textId="77777777" w:rsidR="0092444B" w:rsidRDefault="0092444B">
      <w:pPr>
        <w:ind w:left="567" w:right="616"/>
        <w:jc w:val="both"/>
        <w:rPr>
          <w:rFonts w:ascii="Work Sans" w:eastAsia="Work Sans" w:hAnsi="Work Sans" w:cs="Work Sans"/>
          <w:i/>
          <w:sz w:val="18"/>
          <w:szCs w:val="18"/>
        </w:rPr>
      </w:pPr>
    </w:p>
    <w:p w14:paraId="249F9ECC" w14:textId="77777777" w:rsidR="0092444B" w:rsidRDefault="00EB4521">
      <w:pPr>
        <w:ind w:left="567" w:right="616"/>
        <w:jc w:val="both"/>
      </w:pPr>
      <w:r>
        <w:rPr>
          <w:rFonts w:ascii="Work Sans" w:eastAsia="Work Sans" w:hAnsi="Work Sans" w:cs="Work Sans"/>
          <w:i/>
          <w:sz w:val="18"/>
          <w:szCs w:val="18"/>
        </w:rPr>
        <w:t>Parágrafo 2°. Para tener derecho a la exención contemplada en el literal b), es de carácter obligatorio que los vehículos allí relacionados, con excepción de las bicicletas y motocicletas, estén plenamente identificados con los emblema</w:t>
      </w:r>
      <w:r>
        <w:rPr>
          <w:rFonts w:ascii="Work Sans" w:eastAsia="Work Sans" w:hAnsi="Work Sans" w:cs="Work Sans"/>
          <w:i/>
          <w:sz w:val="18"/>
          <w:szCs w:val="18"/>
        </w:rPr>
        <w:t>s., colores y distintivos institucionales de cada una de las entidades y organismos a los cuales pertenecen. Para efectos de control, el Ministerio de Transporte reglamentará lo pertinente.</w:t>
      </w:r>
    </w:p>
    <w:p w14:paraId="1A9BAC69" w14:textId="77777777" w:rsidR="0092444B" w:rsidRDefault="0092444B">
      <w:pPr>
        <w:ind w:left="567" w:right="616"/>
        <w:jc w:val="both"/>
        <w:rPr>
          <w:rFonts w:ascii="Work Sans" w:eastAsia="Work Sans" w:hAnsi="Work Sans" w:cs="Work Sans"/>
          <w:i/>
          <w:sz w:val="18"/>
          <w:szCs w:val="18"/>
        </w:rPr>
      </w:pPr>
    </w:p>
    <w:p w14:paraId="613209BD" w14:textId="77777777" w:rsidR="0092444B" w:rsidRDefault="00EB4521">
      <w:pPr>
        <w:ind w:left="567" w:right="616"/>
        <w:jc w:val="both"/>
        <w:rPr>
          <w:rFonts w:ascii="Work Sans" w:eastAsia="Work Sans" w:hAnsi="Work Sans" w:cs="Work Sans"/>
          <w:i/>
          <w:sz w:val="18"/>
          <w:szCs w:val="18"/>
        </w:rPr>
      </w:pPr>
      <w:r>
        <w:rPr>
          <w:rFonts w:ascii="Work Sans" w:eastAsia="Work Sans" w:hAnsi="Work Sans" w:cs="Work Sans"/>
          <w:i/>
          <w:sz w:val="18"/>
          <w:szCs w:val="18"/>
        </w:rPr>
        <w:t>Parágrafo 3°. Facúltese a las Entidades Territoriales para decret</w:t>
      </w:r>
      <w:r>
        <w:rPr>
          <w:rFonts w:ascii="Work Sans" w:eastAsia="Work Sans" w:hAnsi="Work Sans" w:cs="Work Sans"/>
          <w:i/>
          <w:sz w:val="18"/>
          <w:szCs w:val="18"/>
        </w:rPr>
        <w:t>ar las exenciones contempladas en el literal b), del artículo 1°.</w:t>
      </w:r>
    </w:p>
    <w:p w14:paraId="57AC9072" w14:textId="77777777" w:rsidR="0092444B" w:rsidRDefault="0092444B">
      <w:pPr>
        <w:ind w:left="567" w:right="616"/>
        <w:jc w:val="both"/>
        <w:rPr>
          <w:rFonts w:ascii="Work Sans" w:eastAsia="Work Sans" w:hAnsi="Work Sans" w:cs="Work Sans"/>
          <w:i/>
          <w:sz w:val="18"/>
          <w:szCs w:val="18"/>
        </w:rPr>
      </w:pPr>
    </w:p>
    <w:p w14:paraId="122E37C3" w14:textId="77777777" w:rsidR="0092444B" w:rsidRDefault="00EB4521">
      <w:pPr>
        <w:ind w:left="567" w:right="616"/>
        <w:jc w:val="both"/>
        <w:rPr>
          <w:rFonts w:ascii="Work Sans" w:eastAsia="Work Sans" w:hAnsi="Work Sans" w:cs="Work Sans"/>
          <w:i/>
          <w:sz w:val="18"/>
          <w:szCs w:val="18"/>
        </w:rPr>
      </w:pPr>
      <w:r>
        <w:rPr>
          <w:rFonts w:ascii="Work Sans" w:eastAsia="Work Sans" w:hAnsi="Work Sans" w:cs="Work Sans"/>
          <w:i/>
          <w:sz w:val="18"/>
          <w:szCs w:val="18"/>
        </w:rPr>
        <w:t>Parágrafo 4°. Se entiende también las vías "Concesionadas”,</w:t>
      </w:r>
    </w:p>
    <w:p w14:paraId="121DFF39" w14:textId="77777777" w:rsidR="0092444B" w:rsidRDefault="0092444B">
      <w:pPr>
        <w:ind w:right="616"/>
        <w:jc w:val="both"/>
        <w:rPr>
          <w:rFonts w:ascii="Work Sans" w:eastAsia="Work Sans" w:hAnsi="Work Sans" w:cs="Work Sans"/>
          <w:i/>
          <w:sz w:val="20"/>
          <w:szCs w:val="20"/>
        </w:rPr>
      </w:pPr>
    </w:p>
    <w:p w14:paraId="23D4D6D8" w14:textId="77777777" w:rsidR="0092444B" w:rsidRDefault="00EB4521">
      <w:pPr>
        <w:widowControl/>
        <w:tabs>
          <w:tab w:val="left" w:pos="0"/>
        </w:tabs>
        <w:ind w:right="49"/>
        <w:jc w:val="both"/>
      </w:pPr>
      <w:r>
        <w:rPr>
          <w:rFonts w:ascii="Work Sans" w:eastAsia="Work Sans" w:hAnsi="Work Sans" w:cs="Work Sans"/>
          <w:sz w:val="20"/>
          <w:szCs w:val="20"/>
        </w:rPr>
        <w:t>Que el Decreto 087 de 2011 “</w:t>
      </w:r>
      <w:r>
        <w:rPr>
          <w:rFonts w:ascii="Work Sans" w:eastAsia="Work Sans" w:hAnsi="Work Sans" w:cs="Work Sans"/>
          <w:i/>
          <w:sz w:val="20"/>
          <w:szCs w:val="20"/>
        </w:rPr>
        <w:t xml:space="preserve">Por el cual se modifica la estructura del Ministerio de Transporte, y se determinan las </w:t>
      </w:r>
      <w:r>
        <w:rPr>
          <w:rFonts w:ascii="Work Sans" w:eastAsia="Work Sans" w:hAnsi="Work Sans" w:cs="Work Sans"/>
          <w:i/>
          <w:sz w:val="20"/>
          <w:szCs w:val="20"/>
        </w:rPr>
        <w:t>funciones de sus dependencias</w:t>
      </w:r>
      <w:r>
        <w:rPr>
          <w:rFonts w:ascii="Work Sans" w:eastAsia="Work Sans" w:hAnsi="Work Sans" w:cs="Work Sans"/>
          <w:sz w:val="20"/>
          <w:szCs w:val="20"/>
        </w:rPr>
        <w:t>” establece:</w:t>
      </w:r>
    </w:p>
    <w:p w14:paraId="3742EB98" w14:textId="77777777" w:rsidR="0092444B" w:rsidRDefault="0092444B">
      <w:pPr>
        <w:widowControl/>
        <w:tabs>
          <w:tab w:val="left" w:pos="0"/>
        </w:tabs>
        <w:ind w:left="709" w:right="709"/>
        <w:jc w:val="both"/>
        <w:rPr>
          <w:rFonts w:ascii="Work Sans" w:eastAsia="Work Sans" w:hAnsi="Work Sans" w:cs="Work Sans"/>
          <w:i/>
          <w:sz w:val="20"/>
          <w:szCs w:val="20"/>
        </w:rPr>
      </w:pPr>
    </w:p>
    <w:p w14:paraId="1D54F8DE" w14:textId="77777777" w:rsidR="0092444B" w:rsidRDefault="00EB4521">
      <w:pPr>
        <w:ind w:left="567" w:right="616"/>
        <w:jc w:val="both"/>
        <w:rPr>
          <w:rFonts w:ascii="Work Sans" w:eastAsia="Work Sans" w:hAnsi="Work Sans" w:cs="Work Sans"/>
          <w:i/>
          <w:sz w:val="18"/>
          <w:szCs w:val="18"/>
        </w:rPr>
      </w:pPr>
      <w:r>
        <w:rPr>
          <w:rFonts w:ascii="Work Sans" w:eastAsia="Work Sans" w:hAnsi="Work Sans" w:cs="Work Sans"/>
          <w:i/>
          <w:sz w:val="18"/>
          <w:szCs w:val="18"/>
        </w:rPr>
        <w:t>“Artículo 6°. Funciones del Despacho del Ministro de Transporte. Son funciones del Despacho del Ministro de Transporte, además de las señaladas por la Constitución Política y la ley, las siguientes:</w:t>
      </w:r>
    </w:p>
    <w:p w14:paraId="5FDC1D89" w14:textId="77777777" w:rsidR="0092444B" w:rsidRDefault="00EB4521">
      <w:pPr>
        <w:ind w:left="567" w:right="616"/>
        <w:jc w:val="both"/>
        <w:rPr>
          <w:rFonts w:ascii="Work Sans" w:eastAsia="Work Sans" w:hAnsi="Work Sans" w:cs="Work Sans"/>
          <w:i/>
          <w:sz w:val="18"/>
          <w:szCs w:val="18"/>
        </w:rPr>
      </w:pPr>
      <w:r>
        <w:rPr>
          <w:rFonts w:ascii="Work Sans" w:eastAsia="Work Sans" w:hAnsi="Work Sans" w:cs="Work Sans"/>
          <w:i/>
          <w:sz w:val="18"/>
          <w:szCs w:val="18"/>
        </w:rPr>
        <w:t xml:space="preserve"> </w:t>
      </w:r>
    </w:p>
    <w:p w14:paraId="1A65F626" w14:textId="77777777" w:rsidR="0092444B" w:rsidRDefault="00EB4521">
      <w:pPr>
        <w:ind w:left="567" w:right="616"/>
        <w:jc w:val="both"/>
        <w:rPr>
          <w:rFonts w:ascii="Work Sans" w:eastAsia="Work Sans" w:hAnsi="Work Sans" w:cs="Work Sans"/>
          <w:i/>
          <w:sz w:val="18"/>
          <w:szCs w:val="18"/>
        </w:rPr>
      </w:pPr>
      <w:r>
        <w:rPr>
          <w:rFonts w:ascii="Work Sans" w:eastAsia="Work Sans" w:hAnsi="Work Sans" w:cs="Work Sans"/>
          <w:i/>
          <w:sz w:val="18"/>
          <w:szCs w:val="18"/>
        </w:rPr>
        <w:t xml:space="preserve"> 6.15. Estab</w:t>
      </w:r>
      <w:r>
        <w:rPr>
          <w:rFonts w:ascii="Work Sans" w:eastAsia="Work Sans" w:hAnsi="Work Sans" w:cs="Work Sans"/>
          <w:i/>
          <w:sz w:val="18"/>
          <w:szCs w:val="18"/>
        </w:rPr>
        <w:t>lecer los peajes, tarifas, tasas y derechos a cobrar por el uso de la   infraestructura de los modos de transporte, excepto el aéreo. (…)”</w:t>
      </w:r>
    </w:p>
    <w:p w14:paraId="54A0E06D" w14:textId="77777777" w:rsidR="0092444B" w:rsidRDefault="0092444B">
      <w:pPr>
        <w:widowControl/>
        <w:tabs>
          <w:tab w:val="left" w:pos="0"/>
        </w:tabs>
        <w:ind w:right="709"/>
        <w:jc w:val="both"/>
        <w:rPr>
          <w:rFonts w:ascii="Work Sans" w:eastAsia="Work Sans" w:hAnsi="Work Sans" w:cs="Work Sans"/>
          <w:i/>
          <w:sz w:val="20"/>
          <w:szCs w:val="20"/>
        </w:rPr>
      </w:pPr>
    </w:p>
    <w:p w14:paraId="3ACEA085" w14:textId="77777777" w:rsidR="0092444B" w:rsidRDefault="00EB4521">
      <w:pPr>
        <w:jc w:val="both"/>
      </w:pPr>
      <w:r>
        <w:rPr>
          <w:rFonts w:ascii="Work Sans" w:hAnsi="Work Sans"/>
          <w:color w:val="221E1F"/>
          <w:sz w:val="20"/>
          <w:szCs w:val="20"/>
        </w:rPr>
        <w:t>Que el Instituto Nacional de Concesiones (INCO), hoy Agencia Nacional de Infraestructura, suscribió el 2 de agosto d</w:t>
      </w:r>
      <w:r>
        <w:rPr>
          <w:rFonts w:ascii="Work Sans" w:hAnsi="Work Sans"/>
          <w:color w:val="221E1F"/>
          <w:sz w:val="20"/>
          <w:szCs w:val="20"/>
        </w:rPr>
        <w:t>e 2004 con la sociedad Concesionaria de Occidente S. A. el Contrato de Concesión GG-046, cuyo objeto es</w:t>
      </w:r>
      <w:r>
        <w:rPr>
          <w:rFonts w:ascii="Work Sans" w:hAnsi="Work Sans"/>
          <w:i/>
          <w:iCs/>
          <w:color w:val="221E1F"/>
          <w:sz w:val="20"/>
          <w:szCs w:val="20"/>
        </w:rPr>
        <w:t xml:space="preserve">: “el otorgamiento al Concesionario de una concesión para que por su cuenta y riesgo realice los estudios y diseños definitivos, la gestión predial, las </w:t>
      </w:r>
      <w:r>
        <w:rPr>
          <w:rFonts w:ascii="Work Sans" w:hAnsi="Work Sans"/>
          <w:i/>
          <w:iCs/>
          <w:color w:val="221E1F"/>
          <w:sz w:val="20"/>
          <w:szCs w:val="20"/>
        </w:rPr>
        <w:t>obras de construcción, mejoramiento y rehabilitación, la operación, el mantenimiento, la financiación, la prestación de servicios y el uso de los bienes cedidos al INCO, dados en concesión, para la cabal ejecución del Proyecto Vial “Pereira- La Victoria” </w:t>
      </w:r>
      <w:r>
        <w:rPr>
          <w:rFonts w:ascii="Work Sans" w:hAnsi="Work Sans"/>
          <w:color w:val="221E1F"/>
          <w:sz w:val="20"/>
          <w:szCs w:val="20"/>
        </w:rPr>
        <w:t>d</w:t>
      </w:r>
      <w:r>
        <w:rPr>
          <w:rFonts w:ascii="Work Sans" w:hAnsi="Work Sans"/>
          <w:color w:val="221E1F"/>
          <w:sz w:val="20"/>
          <w:szCs w:val="20"/>
        </w:rPr>
        <w:t>e conformidad con las estipulaciones del Pliego de Condiciones, del Contrato y de sus Apéndices y Anexos, y bajo el control y vigilancia del INCO y de las demás autoridades competentes en cada caso (...)”;</w:t>
      </w:r>
    </w:p>
    <w:p w14:paraId="23F0EFE0" w14:textId="77777777" w:rsidR="0092444B" w:rsidRDefault="0092444B">
      <w:pPr>
        <w:jc w:val="both"/>
        <w:rPr>
          <w:rFonts w:ascii="Work Sans" w:hAnsi="Work Sans" w:cs="Times New Roman"/>
          <w:sz w:val="20"/>
          <w:szCs w:val="20"/>
          <w:lang w:eastAsia="es-CO"/>
        </w:rPr>
      </w:pPr>
    </w:p>
    <w:p w14:paraId="6D2F2AE1" w14:textId="77777777" w:rsidR="0092444B" w:rsidRDefault="00EB4521">
      <w:pPr>
        <w:pStyle w:val="pa9"/>
        <w:spacing w:before="0" w:after="0"/>
        <w:jc w:val="both"/>
      </w:pPr>
      <w:r>
        <w:rPr>
          <w:rFonts w:ascii="Work Sans" w:hAnsi="Work Sans"/>
          <w:color w:val="221E1F"/>
          <w:sz w:val="20"/>
          <w:szCs w:val="20"/>
        </w:rPr>
        <w:t xml:space="preserve">Que mediante la Resolución número 003039 del 30 </w:t>
      </w:r>
      <w:r>
        <w:rPr>
          <w:rFonts w:ascii="Work Sans" w:hAnsi="Work Sans"/>
          <w:color w:val="221E1F"/>
          <w:sz w:val="20"/>
          <w:szCs w:val="20"/>
        </w:rPr>
        <w:t>de julio de 2013 se estableció una Tarifa Especial Provisional para la estación de peaje “Cerritos II” para el área de influencia que comprende el corregimiento de Puerto Caldas, Pereira, es decir, entre el peaje Cerritos II y el río La Vieja.</w:t>
      </w:r>
    </w:p>
    <w:p w14:paraId="458CF705" w14:textId="77777777" w:rsidR="0092444B" w:rsidRDefault="00EB4521">
      <w:pPr>
        <w:pStyle w:val="pa9"/>
        <w:spacing w:before="0" w:after="0"/>
        <w:jc w:val="both"/>
      </w:pPr>
      <w:r>
        <w:rPr>
          <w:rFonts w:ascii="Work Sans" w:hAnsi="Work Sans"/>
          <w:color w:val="221E1F"/>
          <w:sz w:val="20"/>
          <w:szCs w:val="20"/>
        </w:rPr>
        <w:t> </w:t>
      </w:r>
    </w:p>
    <w:p w14:paraId="4BED4944" w14:textId="77777777" w:rsidR="0092444B" w:rsidRDefault="00EB4521">
      <w:pPr>
        <w:pStyle w:val="pa9"/>
        <w:spacing w:before="0" w:after="0"/>
        <w:jc w:val="both"/>
      </w:pPr>
      <w:r>
        <w:rPr>
          <w:rFonts w:ascii="Work Sans" w:hAnsi="Work Sans"/>
          <w:color w:val="221E1F"/>
          <w:sz w:val="20"/>
          <w:szCs w:val="20"/>
        </w:rPr>
        <w:t>Que el par</w:t>
      </w:r>
      <w:r>
        <w:rPr>
          <w:rFonts w:ascii="Work Sans" w:hAnsi="Work Sans"/>
          <w:color w:val="221E1F"/>
          <w:sz w:val="20"/>
          <w:szCs w:val="20"/>
        </w:rPr>
        <w:t>ágrafo 2° del artículo 1° de la Resolución número 3039 de 2013, señaló que la Tarifa Especial Provisional tendrá vigencia de un (1) año contado a partir de la fecha de publicación de la Resolución o hasta cuando el Ministerio de Transporte expida la resolu</w:t>
      </w:r>
      <w:r>
        <w:rPr>
          <w:rFonts w:ascii="Work Sans" w:hAnsi="Work Sans"/>
          <w:color w:val="221E1F"/>
          <w:sz w:val="20"/>
          <w:szCs w:val="20"/>
        </w:rPr>
        <w:t>ción que establezca los criterios para otorgar tarifas especiales.</w:t>
      </w:r>
    </w:p>
    <w:p w14:paraId="6920965C" w14:textId="77777777" w:rsidR="0092444B" w:rsidRDefault="00EB4521">
      <w:pPr>
        <w:pStyle w:val="pa9"/>
        <w:spacing w:before="0" w:after="0"/>
        <w:jc w:val="both"/>
      </w:pPr>
      <w:r>
        <w:rPr>
          <w:rFonts w:ascii="Work Sans" w:hAnsi="Work Sans"/>
          <w:color w:val="221E1F"/>
          <w:sz w:val="20"/>
          <w:szCs w:val="20"/>
        </w:rPr>
        <w:t> </w:t>
      </w:r>
    </w:p>
    <w:p w14:paraId="22352D67" w14:textId="77777777" w:rsidR="0092444B" w:rsidRDefault="00EB4521">
      <w:pPr>
        <w:jc w:val="both"/>
      </w:pPr>
      <w:r>
        <w:rPr>
          <w:rFonts w:ascii="Work Sans" w:hAnsi="Work Sans" w:cs="Times New Roman"/>
          <w:sz w:val="20"/>
          <w:szCs w:val="20"/>
          <w:lang w:eastAsia="es-CO"/>
        </w:rPr>
        <w:t xml:space="preserve">Que con ocasión de diferentes solicitudes presentadas ante la Agencia Nacional de Infraestructura – ANI- por parte de los habitantes de los corregimientos de "Puerto Caldas" y "Cerritos" </w:t>
      </w:r>
      <w:r>
        <w:rPr>
          <w:rFonts w:ascii="Work Sans" w:hAnsi="Work Sans" w:cs="Times New Roman"/>
          <w:sz w:val="20"/>
          <w:szCs w:val="20"/>
          <w:lang w:eastAsia="es-CO"/>
        </w:rPr>
        <w:t xml:space="preserve">de continuar con las tarifas diferenciales previstas en </w:t>
      </w:r>
      <w:r>
        <w:rPr>
          <w:rFonts w:ascii="Work Sans" w:hAnsi="Work Sans" w:cs="Times New Roman"/>
          <w:sz w:val="20"/>
          <w:szCs w:val="20"/>
          <w:lang w:val="es-CO" w:eastAsia="es-CO"/>
        </w:rPr>
        <w:t>la Resolución No. 003039 de 30 de julio de 2013 expedida por el Ministerio de Transporte</w:t>
      </w:r>
      <w:r>
        <w:rPr>
          <w:rFonts w:ascii="Work Sans" w:hAnsi="Work Sans" w:cs="Times New Roman"/>
          <w:sz w:val="20"/>
          <w:szCs w:val="20"/>
          <w:lang w:eastAsia="es-CO"/>
        </w:rPr>
        <w:t>, argumentando que la tarifa plena representa un alto impacto económico para la comunidad aledaña a dicha estaci</w:t>
      </w:r>
      <w:r>
        <w:rPr>
          <w:rFonts w:ascii="Work Sans" w:hAnsi="Work Sans" w:cs="Times New Roman"/>
          <w:sz w:val="20"/>
          <w:szCs w:val="20"/>
          <w:lang w:eastAsia="es-CO"/>
        </w:rPr>
        <w:t xml:space="preserve">ón de peaje, así como los acuerdos con el Municipio de Pereira y la empresa MEGABÚS S. A., para determinar la tarifa Especial para los vehículos de transporte público masivo conforme a lo previsto en el contrato de Concesión GG-046 de 2004 </w:t>
      </w:r>
      <w:r>
        <w:rPr>
          <w:rFonts w:ascii="Work Sans" w:hAnsi="Work Sans" w:cs="Cambria"/>
          <w:sz w:val="20"/>
          <w:szCs w:val="20"/>
          <w:lang w:eastAsia="es-CO"/>
        </w:rPr>
        <w:t xml:space="preserve">y en virtud </w:t>
      </w:r>
      <w:r>
        <w:rPr>
          <w:rFonts w:ascii="Work Sans" w:hAnsi="Work Sans" w:cs="Times New Roman"/>
          <w:sz w:val="20"/>
          <w:szCs w:val="20"/>
          <w:lang w:eastAsia="es-CO"/>
        </w:rPr>
        <w:t>de l</w:t>
      </w:r>
      <w:r>
        <w:rPr>
          <w:rFonts w:ascii="Work Sans" w:hAnsi="Work Sans" w:cs="Times New Roman"/>
          <w:sz w:val="20"/>
          <w:szCs w:val="20"/>
          <w:lang w:eastAsia="es-CO"/>
        </w:rPr>
        <w:t xml:space="preserve">o establecido en el artículo 21 de la Ley 105 de 1993, se determinó por parte de la Agencia Nacional de Infraestructura – ANI- continuar con el beneficio con tarifa especial en el peaje de "Cerritos II" del corredor vial Pereira - La Victoria, el cual fue </w:t>
      </w:r>
      <w:r>
        <w:rPr>
          <w:rFonts w:ascii="Work Sans" w:hAnsi="Work Sans" w:cs="Times New Roman"/>
          <w:sz w:val="20"/>
          <w:szCs w:val="20"/>
          <w:lang w:eastAsia="es-CO"/>
        </w:rPr>
        <w:t xml:space="preserve">otorgado mediante la Resolución No 1945 del 14 de julio de 2014, modificada por la Resolución No. 177 de 2015, y prorrogada, luego de la Reversión al Instituto Nacional de Vías </w:t>
      </w:r>
      <w:r>
        <w:rPr>
          <w:rFonts w:ascii="Work Sans" w:hAnsi="Work Sans" w:cs="Arial"/>
          <w:sz w:val="20"/>
          <w:szCs w:val="20"/>
        </w:rPr>
        <w:t>por la Resolución No. 5404 de 1º de noviembre del año 2019 expedida por el Mini</w:t>
      </w:r>
      <w:r>
        <w:rPr>
          <w:rFonts w:ascii="Work Sans" w:hAnsi="Work Sans" w:cs="Arial"/>
          <w:sz w:val="20"/>
          <w:szCs w:val="20"/>
        </w:rPr>
        <w:t>sterio de Transporte,</w:t>
      </w:r>
      <w:r>
        <w:rPr>
          <w:rFonts w:ascii="Work Sans" w:hAnsi="Work Sans" w:cs="Arial"/>
          <w:sz w:val="20"/>
          <w:szCs w:val="20"/>
          <w:lang w:val="es-CO" w:eastAsia="ja-JP"/>
        </w:rPr>
        <w:t xml:space="preserve"> </w:t>
      </w:r>
      <w:bookmarkStart w:id="1" w:name="_Hlk61014166"/>
      <w:r>
        <w:rPr>
          <w:rFonts w:ascii="Work Sans" w:hAnsi="Work Sans" w:cs="Arial"/>
          <w:sz w:val="20"/>
          <w:szCs w:val="20"/>
          <w:lang w:val="es-CO"/>
        </w:rPr>
        <w:t>por el término de un (1) año o hasta cuando la Agencia Nacional de Infraestructura solicitara la reversión al INVIAS, lo que ocurriera primero.</w:t>
      </w:r>
    </w:p>
    <w:bookmarkEnd w:id="0"/>
    <w:bookmarkEnd w:id="1"/>
    <w:p w14:paraId="6D1B840F" w14:textId="77777777" w:rsidR="0092444B" w:rsidRDefault="0092444B">
      <w:pPr>
        <w:pStyle w:val="Default"/>
        <w:jc w:val="both"/>
        <w:rPr>
          <w:rFonts w:ascii="Work Sans" w:hAnsi="Work Sans"/>
          <w:iCs/>
          <w:sz w:val="20"/>
          <w:szCs w:val="20"/>
        </w:rPr>
      </w:pPr>
    </w:p>
    <w:p w14:paraId="53A623C4" w14:textId="77777777" w:rsidR="0092444B" w:rsidRDefault="00EB4521">
      <w:pPr>
        <w:pStyle w:val="Default"/>
        <w:jc w:val="both"/>
      </w:pPr>
      <w:proofErr w:type="gramStart"/>
      <w:r>
        <w:rPr>
          <w:rFonts w:ascii="Work Sans" w:hAnsi="Work Sans"/>
          <w:iCs/>
          <w:sz w:val="20"/>
          <w:szCs w:val="20"/>
        </w:rPr>
        <w:t>Que</w:t>
      </w:r>
      <w:proofErr w:type="gramEnd"/>
      <w:r>
        <w:rPr>
          <w:rFonts w:ascii="Work Sans" w:hAnsi="Work Sans"/>
          <w:iCs/>
          <w:sz w:val="20"/>
          <w:szCs w:val="20"/>
        </w:rPr>
        <w:t xml:space="preserve"> mediante ofi</w:t>
      </w:r>
      <w:bookmarkStart w:id="2" w:name="_Hlk61417562"/>
      <w:r>
        <w:rPr>
          <w:rFonts w:ascii="Work Sans" w:hAnsi="Work Sans"/>
          <w:iCs/>
          <w:sz w:val="20"/>
          <w:szCs w:val="20"/>
        </w:rPr>
        <w:t xml:space="preserve">cio del 2 de junio de 2020, </w:t>
      </w:r>
      <w:bookmarkEnd w:id="2"/>
      <w:r>
        <w:rPr>
          <w:rFonts w:ascii="Work Sans" w:hAnsi="Work Sans"/>
          <w:iCs/>
          <w:sz w:val="20"/>
          <w:szCs w:val="20"/>
        </w:rPr>
        <w:t>el Concejo Municipal de Pereira solicitó al M</w:t>
      </w:r>
      <w:r>
        <w:rPr>
          <w:rFonts w:ascii="Work Sans" w:hAnsi="Work Sans"/>
          <w:iCs/>
          <w:sz w:val="20"/>
          <w:szCs w:val="20"/>
        </w:rPr>
        <w:t>inisterio de Transporte exención de pago de peaje ‘’Cerritos II’’ al sistema de transporte masivo del área metropolitana centro occidente, asimismo refiere que ha venido solicitando aumentar los pasos por este peaje con una tarifa diferencial suficiente qu</w:t>
      </w:r>
      <w:r>
        <w:rPr>
          <w:rFonts w:ascii="Work Sans" w:hAnsi="Work Sans"/>
          <w:iCs/>
          <w:sz w:val="20"/>
          <w:szCs w:val="20"/>
        </w:rPr>
        <w:t>e permita alivianar los costos y mantener la prestación del servicio.</w:t>
      </w:r>
    </w:p>
    <w:p w14:paraId="27B6FAD5" w14:textId="77777777" w:rsidR="0092444B" w:rsidRDefault="0092444B">
      <w:pPr>
        <w:pStyle w:val="Default"/>
        <w:jc w:val="both"/>
        <w:rPr>
          <w:rFonts w:ascii="Work Sans" w:hAnsi="Work Sans"/>
          <w:iCs/>
          <w:sz w:val="20"/>
          <w:szCs w:val="20"/>
        </w:rPr>
      </w:pPr>
    </w:p>
    <w:p w14:paraId="31C1950C" w14:textId="77777777" w:rsidR="0092444B" w:rsidRDefault="00EB4521">
      <w:pPr>
        <w:pStyle w:val="Default"/>
        <w:jc w:val="both"/>
      </w:pPr>
      <w:r>
        <w:rPr>
          <w:rFonts w:ascii="Work Sans" w:hAnsi="Work Sans"/>
          <w:iCs/>
          <w:sz w:val="20"/>
          <w:szCs w:val="20"/>
        </w:rPr>
        <w:t>Que mediante oficio del 8 de junio de 2020, la Gobernación de Risaralda solicitó igualmente al Ministerio de Transporte la exención de pago de la tarifa de peaje en la estación "Cerrito</w:t>
      </w:r>
      <w:r>
        <w:rPr>
          <w:rFonts w:ascii="Work Sans" w:hAnsi="Work Sans"/>
          <w:iCs/>
          <w:sz w:val="20"/>
          <w:szCs w:val="20"/>
        </w:rPr>
        <w:t xml:space="preserve">s II" para el sistema de transporte público masivo, en el tramo Pereira - Puerto Caldas y viceversa, insistiendo en la necesidad de aumentar los pasos por este peaje con una tarifa diferencial suficiente que permita seguir prestando el servicio esencial a </w:t>
      </w:r>
      <w:r>
        <w:rPr>
          <w:rFonts w:ascii="Work Sans" w:hAnsi="Work Sans"/>
          <w:iCs/>
          <w:sz w:val="20"/>
          <w:szCs w:val="20"/>
        </w:rPr>
        <w:t>más 5.500 usuarios de manera permanente, refiriendo que es una comunidad que lo necesita.</w:t>
      </w:r>
    </w:p>
    <w:p w14:paraId="6A7FB4C4" w14:textId="77777777" w:rsidR="0092444B" w:rsidRDefault="0092444B">
      <w:pPr>
        <w:pStyle w:val="Default"/>
        <w:jc w:val="both"/>
        <w:rPr>
          <w:rFonts w:ascii="Work Sans" w:hAnsi="Work Sans"/>
          <w:iCs/>
          <w:sz w:val="20"/>
          <w:szCs w:val="20"/>
        </w:rPr>
      </w:pPr>
    </w:p>
    <w:p w14:paraId="4046A103" w14:textId="77777777" w:rsidR="0092444B" w:rsidRDefault="00EB4521">
      <w:pPr>
        <w:pStyle w:val="Default"/>
        <w:jc w:val="both"/>
      </w:pPr>
      <w:r>
        <w:rPr>
          <w:rFonts w:ascii="Work Sans" w:hAnsi="Work Sans"/>
          <w:iCs/>
          <w:sz w:val="20"/>
          <w:szCs w:val="20"/>
        </w:rPr>
        <w:t>Que mediante oficio d</w:t>
      </w:r>
      <w:r>
        <w:rPr>
          <w:rFonts w:ascii="Work Sans" w:hAnsi="Work Sans"/>
          <w:iCs/>
          <w:sz w:val="20"/>
          <w:szCs w:val="20"/>
          <w:lang w:val="es"/>
        </w:rPr>
        <w:t>el 12 de junio de 2020,</w:t>
      </w:r>
      <w:r>
        <w:rPr>
          <w:rFonts w:ascii="Work Sans" w:hAnsi="Work Sans"/>
          <w:iCs/>
          <w:sz w:val="20"/>
          <w:szCs w:val="20"/>
        </w:rPr>
        <w:t xml:space="preserve"> la empresa MEGABUS, solicitó al Instituto Nacional de Vías INVIAS se concediera la exención del cobro de peaje a los veh</w:t>
      </w:r>
      <w:r>
        <w:rPr>
          <w:rFonts w:ascii="Work Sans" w:hAnsi="Work Sans"/>
          <w:iCs/>
          <w:sz w:val="20"/>
          <w:szCs w:val="20"/>
        </w:rPr>
        <w:t>ículos que prestan servicio público de transporte intermunicipal y/o masivo, pertenecientes a empresas de transporte público vinculadas a los Sistemas Integrados de Transporte Masivo del Área Metropolitana de Centro Occidente, MEGABUS, en razón a las situa</w:t>
      </w:r>
      <w:r>
        <w:rPr>
          <w:rFonts w:ascii="Work Sans" w:hAnsi="Work Sans"/>
          <w:iCs/>
          <w:sz w:val="20"/>
          <w:szCs w:val="20"/>
        </w:rPr>
        <w:t>ciones generadas por la Pandemia del COVID-19, indicando que se ha golpeado severamente la industria del transporte público, y que para el caso de MEGABUS S.A. el pago de peaje genera un déficit del 35% sobre el equilibrio económico, debido a la baja deman</w:t>
      </w:r>
      <w:r>
        <w:rPr>
          <w:rFonts w:ascii="Work Sans" w:hAnsi="Work Sans"/>
          <w:iCs/>
          <w:sz w:val="20"/>
          <w:szCs w:val="20"/>
        </w:rPr>
        <w:t>da por las restricciones de aislamiento, situación que se ahonda por la poca capacidad de pago de quienes utilizan esa ruta, o, por el contrario, considerar el aumento de pasos con tarifa diferencial con los que actualmente cuentan los vehículos del Sistem</w:t>
      </w:r>
      <w:r>
        <w:rPr>
          <w:rFonts w:ascii="Work Sans" w:hAnsi="Work Sans"/>
          <w:iCs/>
          <w:sz w:val="20"/>
          <w:szCs w:val="20"/>
        </w:rPr>
        <w:t>a de Transporte Masivo del Área Metropolitana Centro Occidente - MEGABUS, de 60 pasos/día con tarifa diferencial a 120 pasos/día.</w:t>
      </w:r>
    </w:p>
    <w:p w14:paraId="709BD9D0" w14:textId="77777777" w:rsidR="0092444B" w:rsidRDefault="0092444B">
      <w:pPr>
        <w:pStyle w:val="Textoindependiente"/>
        <w:ind w:left="3" w:right="142" w:hanging="3"/>
        <w:rPr>
          <w:rFonts w:ascii="Work Sans" w:hAnsi="Work Sans" w:cs="ArialNarrow"/>
          <w:b/>
          <w:sz w:val="20"/>
          <w:szCs w:val="20"/>
          <w:lang w:eastAsia="ja-JP"/>
        </w:rPr>
      </w:pPr>
    </w:p>
    <w:p w14:paraId="25FFE5B8" w14:textId="77777777" w:rsidR="0092444B" w:rsidRDefault="00EB4521">
      <w:pPr>
        <w:autoSpaceDE w:val="0"/>
        <w:jc w:val="both"/>
        <w:rPr>
          <w:rFonts w:ascii="Work Sans" w:hAnsi="Work Sans" w:cs="ArialNarrow"/>
          <w:sz w:val="20"/>
          <w:szCs w:val="20"/>
          <w:lang w:eastAsia="ja-JP"/>
        </w:rPr>
      </w:pPr>
      <w:bookmarkStart w:id="3" w:name="_Hlk61014404"/>
      <w:r>
        <w:rPr>
          <w:rFonts w:ascii="Work Sans" w:hAnsi="Work Sans" w:cs="ArialNarrow"/>
          <w:sz w:val="20"/>
          <w:szCs w:val="20"/>
          <w:lang w:eastAsia="ja-JP"/>
        </w:rPr>
        <w:t xml:space="preserve">Que </w:t>
      </w:r>
      <w:bookmarkStart w:id="4" w:name="_Hlk61013942"/>
      <w:r>
        <w:rPr>
          <w:rFonts w:ascii="Work Sans" w:hAnsi="Work Sans" w:cs="ArialNarrow"/>
          <w:sz w:val="20"/>
          <w:szCs w:val="20"/>
          <w:lang w:eastAsia="ja-JP"/>
        </w:rPr>
        <w:t xml:space="preserve">teniendo en cuenta que se dieron las condiciones de plazo contemplados en la Resolución No. 5404 de 1º de </w:t>
      </w:r>
      <w:r>
        <w:rPr>
          <w:rFonts w:ascii="Work Sans" w:hAnsi="Work Sans" w:cs="ArialNarrow"/>
          <w:sz w:val="20"/>
          <w:szCs w:val="20"/>
          <w:lang w:eastAsia="ja-JP"/>
        </w:rPr>
        <w:t>noviembre del año 2019, y no se solicitó  por parte de la Agencia Nacional de Infraestructura la reversión de la Estación de Peaje Cerritos II</w:t>
      </w:r>
      <w:bookmarkEnd w:id="3"/>
      <w:r>
        <w:rPr>
          <w:rFonts w:ascii="Work Sans" w:hAnsi="Work Sans" w:cs="ArialNarrow"/>
          <w:sz w:val="20"/>
          <w:szCs w:val="20"/>
          <w:lang w:eastAsia="ja-JP"/>
        </w:rPr>
        <w:t>, de conformidad con las solicitudes realizadas por la comunidad, aunado a las diferentes solicitudes elevadas por</w:t>
      </w:r>
      <w:r>
        <w:rPr>
          <w:rFonts w:ascii="Work Sans" w:hAnsi="Work Sans" w:cs="ArialNarrow"/>
          <w:sz w:val="20"/>
          <w:szCs w:val="20"/>
          <w:lang w:eastAsia="ja-JP"/>
        </w:rPr>
        <w:t xml:space="preserve"> las empresas que prestan servicio público de transporte intermunicipal y/o masivo, pertenecientes a empresas de transporte público vinculadas a los Sistemas Integrados de Transporte Masivo, la Gobernación de Risaralda y el Concejo de Pereira para que se l</w:t>
      </w:r>
      <w:r>
        <w:rPr>
          <w:rFonts w:ascii="Work Sans" w:hAnsi="Work Sans" w:cs="ArialNarrow"/>
          <w:sz w:val="20"/>
          <w:szCs w:val="20"/>
          <w:lang w:eastAsia="ja-JP"/>
        </w:rPr>
        <w:t>es otorgue el beneficio con tarifa especial en el peaje de "Cerritos II" del corredor vial Pereira - La Victoria y lo descrito anteriormente, se considera procedente continuar con el otorgamiento del beneficio de tarifas diferenciales para los habitantes d</w:t>
      </w:r>
      <w:r>
        <w:rPr>
          <w:rFonts w:ascii="Work Sans" w:hAnsi="Work Sans" w:cs="ArialNarrow"/>
          <w:sz w:val="20"/>
          <w:szCs w:val="20"/>
          <w:lang w:eastAsia="ja-JP"/>
        </w:rPr>
        <w:t>el área de influencia del mencionado peaje, así como para los vehículos de servicio público de transporte intermunicipal y/o masivo, pertenecientes a empresas de transporte público vinculadas a los Sistemas Integrados de Transporte Masivo del Área Metropol</w:t>
      </w:r>
      <w:r>
        <w:rPr>
          <w:rFonts w:ascii="Work Sans" w:hAnsi="Work Sans" w:cs="ArialNarrow"/>
          <w:sz w:val="20"/>
          <w:szCs w:val="20"/>
          <w:lang w:eastAsia="ja-JP"/>
        </w:rPr>
        <w:t xml:space="preserve">itana de Centro Occidente (MEGABUS) contempladas en la Resolución No.1945 de 2014, </w:t>
      </w:r>
      <w:bookmarkStart w:id="5" w:name="_Hlk61010176"/>
      <w:r>
        <w:rPr>
          <w:rFonts w:ascii="Work Sans" w:hAnsi="Work Sans" w:cs="ArialNarrow"/>
          <w:sz w:val="20"/>
          <w:szCs w:val="20"/>
          <w:lang w:eastAsia="ja-JP"/>
        </w:rPr>
        <w:t>modificada por la Resolución No. 177 de 2015</w:t>
      </w:r>
      <w:bookmarkEnd w:id="5"/>
      <w:r>
        <w:rPr>
          <w:rFonts w:ascii="Work Sans" w:hAnsi="Work Sans" w:cs="ArialNarrow"/>
          <w:sz w:val="20"/>
          <w:szCs w:val="20"/>
          <w:lang w:eastAsia="ja-JP"/>
        </w:rPr>
        <w:t xml:space="preserve"> prorrogada por la Resolución 5404 del 1º de noviembre del año 2019, expedidas por el Ministerio de Transporte</w:t>
      </w:r>
      <w:bookmarkEnd w:id="4"/>
      <w:r>
        <w:rPr>
          <w:rFonts w:ascii="Work Sans" w:hAnsi="Work Sans" w:cs="ArialNarrow"/>
          <w:sz w:val="20"/>
          <w:szCs w:val="20"/>
          <w:lang w:eastAsia="ja-JP"/>
        </w:rPr>
        <w:t>.</w:t>
      </w:r>
    </w:p>
    <w:p w14:paraId="651C7FB6" w14:textId="77777777" w:rsidR="0092444B" w:rsidRDefault="0092444B">
      <w:pPr>
        <w:pStyle w:val="Textoindependiente"/>
        <w:ind w:left="3" w:right="49" w:hanging="3"/>
        <w:rPr>
          <w:rFonts w:ascii="Work Sans" w:hAnsi="Work Sans" w:cs="ArialNarrow"/>
          <w:b/>
          <w:sz w:val="20"/>
          <w:szCs w:val="20"/>
          <w:lang w:eastAsia="ja-JP"/>
        </w:rPr>
      </w:pPr>
    </w:p>
    <w:p w14:paraId="115C47FB" w14:textId="77777777" w:rsidR="0092444B" w:rsidRDefault="00EB4521">
      <w:pPr>
        <w:pStyle w:val="Textoindependiente"/>
        <w:ind w:right="49"/>
        <w:jc w:val="both"/>
      </w:pPr>
      <w:r>
        <w:rPr>
          <w:rFonts w:ascii="Work Sans" w:hAnsi="Work Sans" w:cs="ArialNarrow"/>
          <w:bCs/>
          <w:sz w:val="20"/>
          <w:szCs w:val="20"/>
          <w:lang w:val="es-CO" w:eastAsia="ja-JP"/>
        </w:rPr>
        <w:t>Que</w:t>
      </w:r>
      <w:r>
        <w:rPr>
          <w:rFonts w:ascii="Work Sans" w:hAnsi="Work Sans" w:cs="ArialNarrow"/>
          <w:bCs/>
          <w:sz w:val="20"/>
          <w:szCs w:val="20"/>
          <w:lang w:eastAsia="ja-JP"/>
        </w:rPr>
        <w:t xml:space="preserve"> teniendo en </w:t>
      </w:r>
      <w:r>
        <w:rPr>
          <w:rFonts w:ascii="Work Sans" w:hAnsi="Work Sans" w:cs="ArialNarrow"/>
          <w:bCs/>
          <w:sz w:val="20"/>
          <w:szCs w:val="20"/>
          <w:lang w:eastAsia="ja-JP"/>
        </w:rPr>
        <w:t xml:space="preserve">cuenta </w:t>
      </w:r>
      <w:r>
        <w:rPr>
          <w:rFonts w:ascii="Work Sans" w:hAnsi="Work Sans" w:cs="ArialNarrow"/>
          <w:bCs/>
          <w:sz w:val="20"/>
          <w:szCs w:val="20"/>
          <w:lang w:val="es-CO" w:eastAsia="ja-JP"/>
        </w:rPr>
        <w:t>lo establecido en el artículo 3º de la</w:t>
      </w:r>
      <w:r>
        <w:rPr>
          <w:rFonts w:ascii="Work Sans" w:hAnsi="Work Sans" w:cs="ArialNarrow"/>
          <w:bCs/>
          <w:sz w:val="20"/>
          <w:szCs w:val="20"/>
          <w:lang w:eastAsia="ja-JP"/>
        </w:rPr>
        <w:t xml:space="preserve"> Resolución 000228 de 2013,</w:t>
      </w:r>
      <w:r>
        <w:rPr>
          <w:rFonts w:ascii="Work Sans" w:eastAsia="Calibri" w:hAnsi="Work Sans" w:cs="Calibri"/>
          <w:i/>
          <w:sz w:val="20"/>
          <w:szCs w:val="20"/>
          <w:lang w:val="es-CO" w:eastAsia="es-CO"/>
        </w:rPr>
        <w:t xml:space="preserve"> </w:t>
      </w:r>
      <w:r>
        <w:rPr>
          <w:rFonts w:ascii="Work Sans" w:hAnsi="Work Sans" w:cs="ArialNarrow"/>
          <w:bCs/>
          <w:iCs/>
          <w:sz w:val="20"/>
          <w:szCs w:val="20"/>
          <w:lang w:val="es-CO" w:eastAsia="ja-JP"/>
        </w:rPr>
        <w:t>adicionado por la Resolución 001859 de 2014 emitida por el Ministerio de Transporte</w:t>
      </w:r>
      <w:r>
        <w:rPr>
          <w:rFonts w:ascii="Work Sans" w:hAnsi="Work Sans" w:cs="ArialNarrow"/>
          <w:bCs/>
          <w:sz w:val="20"/>
          <w:szCs w:val="20"/>
          <w:lang w:eastAsia="ja-JP"/>
        </w:rPr>
        <w:t xml:space="preserve">, la cual determina la clasificación vehicular para el cobro de las tarifas de Peaje en la Red vial </w:t>
      </w:r>
      <w:r>
        <w:rPr>
          <w:rFonts w:ascii="Work Sans" w:hAnsi="Work Sans" w:cs="ArialNarrow"/>
          <w:bCs/>
          <w:sz w:val="20"/>
          <w:szCs w:val="20"/>
          <w:lang w:eastAsia="ja-JP"/>
        </w:rPr>
        <w:t xml:space="preserve">Nacional a cargo del Instituto Nacional De </w:t>
      </w:r>
      <w:proofErr w:type="gramStart"/>
      <w:r>
        <w:rPr>
          <w:rFonts w:ascii="Work Sans" w:hAnsi="Work Sans" w:cs="ArialNarrow"/>
          <w:bCs/>
          <w:sz w:val="20"/>
          <w:szCs w:val="20"/>
          <w:lang w:eastAsia="ja-JP"/>
        </w:rPr>
        <w:t>Vías  -</w:t>
      </w:r>
      <w:proofErr w:type="gramEnd"/>
      <w:r>
        <w:rPr>
          <w:rFonts w:ascii="Work Sans" w:hAnsi="Work Sans" w:cs="ArialNarrow"/>
          <w:bCs/>
          <w:sz w:val="20"/>
          <w:szCs w:val="20"/>
          <w:lang w:eastAsia="ja-JP"/>
        </w:rPr>
        <w:t>INVIAS-, se tendrá en cuenta la mencionada clasificación para efectos de establecer las Tarifas diferenciales en el Peaje “Cerritos”.</w:t>
      </w:r>
    </w:p>
    <w:p w14:paraId="1C421A03" w14:textId="77777777" w:rsidR="0092444B" w:rsidRDefault="0092444B">
      <w:pPr>
        <w:autoSpaceDE w:val="0"/>
        <w:jc w:val="both"/>
        <w:rPr>
          <w:rFonts w:ascii="Work Sans" w:hAnsi="Work Sans" w:cs="Cambria"/>
          <w:sz w:val="20"/>
          <w:szCs w:val="20"/>
          <w:lang w:eastAsia="es-CO"/>
        </w:rPr>
      </w:pPr>
    </w:p>
    <w:p w14:paraId="2EECB6EA" w14:textId="77777777" w:rsidR="0092444B" w:rsidRDefault="00EB4521">
      <w:pPr>
        <w:autoSpaceDE w:val="0"/>
        <w:jc w:val="both"/>
      </w:pPr>
      <w:r>
        <w:rPr>
          <w:rFonts w:ascii="Work Sans" w:hAnsi="Work Sans" w:cs="Cambria"/>
          <w:sz w:val="20"/>
          <w:szCs w:val="20"/>
          <w:lang w:eastAsia="es-CO"/>
        </w:rPr>
        <w:t>Que en virtud de lo anterior el Instituto Nacional de Vía</w:t>
      </w:r>
      <w:r>
        <w:rPr>
          <w:rFonts w:ascii="Work Sans" w:hAnsi="Work Sans" w:cs="Cambria"/>
          <w:sz w:val="20"/>
          <w:szCs w:val="20"/>
        </w:rPr>
        <w:t>s INVIAS media</w:t>
      </w:r>
      <w:r>
        <w:rPr>
          <w:rFonts w:ascii="Work Sans" w:hAnsi="Work Sans" w:cs="Cambria"/>
          <w:sz w:val="20"/>
          <w:szCs w:val="20"/>
        </w:rPr>
        <w:t xml:space="preserve">nte oficio con número de </w:t>
      </w:r>
      <w:proofErr w:type="gramStart"/>
      <w:r>
        <w:rPr>
          <w:rFonts w:ascii="Work Sans" w:hAnsi="Work Sans" w:cs="Cambria"/>
          <w:sz w:val="20"/>
          <w:szCs w:val="20"/>
        </w:rPr>
        <w:t>radicado  D</w:t>
      </w:r>
      <w:proofErr w:type="gramEnd"/>
      <w:r>
        <w:rPr>
          <w:rFonts w:ascii="Work Sans" w:hAnsi="Work Sans" w:cs="Cambria"/>
          <w:sz w:val="20"/>
          <w:szCs w:val="20"/>
        </w:rPr>
        <w:t>6804 del 13 de enero de 2021</w:t>
      </w:r>
      <w:r>
        <w:rPr>
          <w:rFonts w:ascii="Work Sans" w:hAnsi="Work Sans" w:cs="Cambria"/>
          <w:sz w:val="20"/>
          <w:szCs w:val="20"/>
          <w:lang w:eastAsia="es-CO"/>
        </w:rPr>
        <w:t xml:space="preserve">, </w:t>
      </w:r>
      <w:r>
        <w:rPr>
          <w:rFonts w:ascii="Work Sans" w:eastAsia="Work Sans" w:hAnsi="Work Sans" w:cs="Work Sans"/>
          <w:sz w:val="20"/>
          <w:szCs w:val="20"/>
        </w:rPr>
        <w:t xml:space="preserve">propone a esta Cartera Ministerial, establecer </w:t>
      </w:r>
      <w:r>
        <w:rPr>
          <w:rFonts w:ascii="Work Sans" w:hAnsi="Work Sans"/>
          <w:sz w:val="20"/>
          <w:szCs w:val="20"/>
        </w:rPr>
        <w:t xml:space="preserve">tarifas diferenciales </w:t>
      </w:r>
      <w:r>
        <w:rPr>
          <w:rFonts w:ascii="Work Sans" w:hAnsi="Work Sans" w:cs="Cambria"/>
          <w:sz w:val="20"/>
          <w:szCs w:val="20"/>
          <w:lang w:eastAsia="es-CO"/>
        </w:rPr>
        <w:t>para las Categorías I y II en la estación de Peaje "Cerritos II" señalando para el efecto lo siguiente:</w:t>
      </w:r>
    </w:p>
    <w:p w14:paraId="4A31EFF8" w14:textId="77777777" w:rsidR="0092444B" w:rsidRDefault="0092444B">
      <w:pPr>
        <w:autoSpaceDE w:val="0"/>
        <w:ind w:right="481"/>
        <w:jc w:val="both"/>
        <w:rPr>
          <w:rFonts w:ascii="Work Sans" w:hAnsi="Work Sans" w:cs="Cambria"/>
          <w:sz w:val="18"/>
          <w:szCs w:val="18"/>
          <w:lang w:eastAsia="es-CO"/>
        </w:rPr>
      </w:pPr>
    </w:p>
    <w:p w14:paraId="78CFE970" w14:textId="77777777" w:rsidR="0092444B" w:rsidRDefault="00EB4521">
      <w:pPr>
        <w:autoSpaceDE w:val="0"/>
        <w:ind w:left="567" w:right="481"/>
        <w:jc w:val="both"/>
        <w:rPr>
          <w:rFonts w:ascii="Work Sans" w:hAnsi="Work Sans" w:cs="Cambria"/>
          <w:i/>
          <w:sz w:val="18"/>
          <w:szCs w:val="18"/>
          <w:lang w:eastAsia="es-CO"/>
        </w:rPr>
      </w:pPr>
      <w:r>
        <w:rPr>
          <w:rFonts w:ascii="Work Sans" w:hAnsi="Work Sans" w:cs="Cambria"/>
          <w:i/>
          <w:sz w:val="18"/>
          <w:szCs w:val="18"/>
          <w:lang w:eastAsia="es-CO"/>
        </w:rPr>
        <w:t xml:space="preserve">“(…) </w:t>
      </w:r>
      <w:bookmarkStart w:id="6" w:name="_Hlk61013718"/>
    </w:p>
    <w:p w14:paraId="5B3B608D" w14:textId="77777777" w:rsidR="0092444B" w:rsidRDefault="0092444B">
      <w:pPr>
        <w:autoSpaceDE w:val="0"/>
        <w:ind w:left="567" w:right="481"/>
        <w:jc w:val="both"/>
        <w:rPr>
          <w:rFonts w:ascii="Work Sans" w:hAnsi="Work Sans" w:cs="Arial"/>
          <w:i/>
          <w:iCs/>
          <w:sz w:val="18"/>
          <w:szCs w:val="18"/>
        </w:rPr>
      </w:pPr>
    </w:p>
    <w:p w14:paraId="0FF3EC99" w14:textId="77777777" w:rsidR="0092444B" w:rsidRDefault="00EB4521">
      <w:pPr>
        <w:widowControl/>
        <w:numPr>
          <w:ilvl w:val="0"/>
          <w:numId w:val="20"/>
        </w:numPr>
        <w:ind w:right="481"/>
        <w:jc w:val="both"/>
        <w:textAlignment w:val="auto"/>
      </w:pPr>
      <w:r>
        <w:rPr>
          <w:rFonts w:ascii="Work Sans" w:hAnsi="Work Sans" w:cs="Arial"/>
          <w:bCs/>
          <w:i/>
          <w:iCs/>
          <w:sz w:val="18"/>
          <w:szCs w:val="18"/>
          <w:lang w:val="es-MX"/>
        </w:rPr>
        <w:t xml:space="preserve">Que  </w:t>
      </w:r>
      <w:r>
        <w:rPr>
          <w:rFonts w:ascii="Work Sans" w:hAnsi="Work Sans" w:cs="Arial"/>
          <w:bCs/>
          <w:i/>
          <w:iCs/>
          <w:sz w:val="18"/>
          <w:szCs w:val="18"/>
          <w:lang w:val="es-MX"/>
        </w:rPr>
        <w:t xml:space="preserve">desde el pasado 25 de marzo de 2020, el Gobierno Nacional decreto la emergencia sanitaria, económica y social que a hoy  se ha extendido hasta el 28  </w:t>
      </w:r>
      <w:r>
        <w:rPr>
          <w:rFonts w:ascii="Work Sans" w:hAnsi="Work Sans" w:cs="Arial"/>
          <w:bCs/>
          <w:i/>
          <w:iCs/>
          <w:sz w:val="18"/>
          <w:szCs w:val="18"/>
          <w:lang w:val="es-MX"/>
        </w:rPr>
        <w:lastRenderedPageBreak/>
        <w:t xml:space="preserve">de febrero de 2021, como consecuencia de la pandemia mundial por el COVID-19 y </w:t>
      </w:r>
      <w:r>
        <w:rPr>
          <w:rFonts w:ascii="Work Sans" w:hAnsi="Work Sans" w:cs="Arial"/>
          <w:i/>
          <w:iCs/>
          <w:sz w:val="18"/>
          <w:szCs w:val="18"/>
        </w:rPr>
        <w:t>como consecuencia de lo ant</w:t>
      </w:r>
      <w:r>
        <w:rPr>
          <w:rFonts w:ascii="Work Sans" w:hAnsi="Work Sans" w:cs="Arial"/>
          <w:i/>
          <w:iCs/>
          <w:sz w:val="18"/>
          <w:szCs w:val="18"/>
        </w:rPr>
        <w:t xml:space="preserve">erior, mediante Decreto No. 482 de 26 de marzo de 2020 “Por el cual se dictan medidas sobre la prestación del servicio público de transporte y su infraestructura, dentro del Estado de Emergencia, Económica, Social y Ecológica” se estableció en su Artículo </w:t>
      </w:r>
      <w:r>
        <w:rPr>
          <w:rFonts w:ascii="Work Sans" w:hAnsi="Work Sans" w:cs="Arial"/>
          <w:i/>
          <w:iCs/>
          <w:sz w:val="18"/>
          <w:szCs w:val="18"/>
        </w:rPr>
        <w:t>5, “Durante el estado de emergencia económica, social y ecológica y el aislamiento preventivo obligatorio, se permite operar el servicio público transporte masivo; sin embargo, de acuerdo con el análisis de movilidad que sea adelantado por cada autoridad m</w:t>
      </w:r>
      <w:r>
        <w:rPr>
          <w:rFonts w:ascii="Work Sans" w:hAnsi="Work Sans" w:cs="Arial"/>
          <w:i/>
          <w:iCs/>
          <w:sz w:val="18"/>
          <w:szCs w:val="18"/>
        </w:rPr>
        <w:t>unicipal, distrital o metropolitana, la oferta habilitada no podrá exceder, en ningún caso, el cincuenta por ciento (50%) de la oferta máxima que se tenga en cada sistema”.</w:t>
      </w:r>
    </w:p>
    <w:p w14:paraId="1BC8683A" w14:textId="77777777" w:rsidR="0092444B" w:rsidRDefault="0092444B">
      <w:pPr>
        <w:ind w:left="567" w:right="481"/>
        <w:jc w:val="both"/>
        <w:rPr>
          <w:rFonts w:ascii="Work Sans" w:hAnsi="Work Sans" w:cs="Arial"/>
          <w:i/>
          <w:iCs/>
          <w:sz w:val="18"/>
          <w:szCs w:val="18"/>
        </w:rPr>
      </w:pPr>
    </w:p>
    <w:p w14:paraId="725326D9" w14:textId="77777777" w:rsidR="0092444B" w:rsidRDefault="00EB4521">
      <w:pPr>
        <w:widowControl/>
        <w:numPr>
          <w:ilvl w:val="0"/>
          <w:numId w:val="20"/>
        </w:numPr>
        <w:ind w:right="481"/>
        <w:jc w:val="both"/>
        <w:textAlignment w:val="auto"/>
      </w:pPr>
      <w:r>
        <w:rPr>
          <w:rFonts w:ascii="Work Sans" w:hAnsi="Work Sans" w:cs="Arial"/>
          <w:i/>
          <w:iCs/>
          <w:sz w:val="18"/>
          <w:szCs w:val="18"/>
        </w:rPr>
        <w:t>Que se recibieron en el Instituto Nacional de Vías diferentes solicitudes presenta</w:t>
      </w:r>
      <w:r>
        <w:rPr>
          <w:rFonts w:ascii="Work Sans" w:hAnsi="Work Sans" w:cs="Arial"/>
          <w:i/>
          <w:iCs/>
          <w:sz w:val="18"/>
          <w:szCs w:val="18"/>
        </w:rPr>
        <w:t xml:space="preserve">das por parte de los habitantes de los corregimientos de "Puerto Caldas" y "Cerritos" y de la Procuraduría Regional </w:t>
      </w:r>
      <w:proofErr w:type="gramStart"/>
      <w:r>
        <w:rPr>
          <w:rFonts w:ascii="Work Sans" w:hAnsi="Work Sans" w:cs="Arial"/>
          <w:i/>
          <w:iCs/>
          <w:sz w:val="18"/>
          <w:szCs w:val="18"/>
        </w:rPr>
        <w:t>de  Risaralda</w:t>
      </w:r>
      <w:proofErr w:type="gramEnd"/>
      <w:r>
        <w:rPr>
          <w:rFonts w:ascii="Work Sans" w:hAnsi="Work Sans" w:cs="Arial"/>
          <w:i/>
          <w:iCs/>
          <w:sz w:val="18"/>
          <w:szCs w:val="18"/>
        </w:rPr>
        <w:t xml:space="preserve"> continuar con la tarifas diferenciales, argumentando que la tarifa plena representa un alto impacto económico para la comunida</w:t>
      </w:r>
      <w:r>
        <w:rPr>
          <w:rFonts w:ascii="Work Sans" w:hAnsi="Work Sans" w:cs="Arial"/>
          <w:i/>
          <w:iCs/>
          <w:sz w:val="18"/>
          <w:szCs w:val="18"/>
        </w:rPr>
        <w:t>d aledaña a dicha estación de peaje.</w:t>
      </w:r>
    </w:p>
    <w:p w14:paraId="7B06525B" w14:textId="77777777" w:rsidR="0092444B" w:rsidRDefault="0092444B">
      <w:pPr>
        <w:pStyle w:val="Prrafodelista"/>
        <w:rPr>
          <w:rFonts w:ascii="Work Sans" w:hAnsi="Work Sans" w:cs="Arial"/>
          <w:i/>
          <w:iCs/>
          <w:sz w:val="18"/>
          <w:szCs w:val="18"/>
        </w:rPr>
      </w:pPr>
    </w:p>
    <w:p w14:paraId="3C927341" w14:textId="77777777" w:rsidR="0092444B" w:rsidRDefault="00EB4521">
      <w:pPr>
        <w:widowControl/>
        <w:numPr>
          <w:ilvl w:val="0"/>
          <w:numId w:val="20"/>
        </w:numPr>
        <w:ind w:right="481"/>
        <w:jc w:val="both"/>
        <w:textAlignment w:val="auto"/>
      </w:pPr>
      <w:r>
        <w:rPr>
          <w:rFonts w:ascii="Work Sans" w:hAnsi="Work Sans"/>
          <w:i/>
          <w:sz w:val="18"/>
          <w:szCs w:val="18"/>
        </w:rPr>
        <w:t>Que así mismo, se recibieron por parte de este Instituto</w:t>
      </w:r>
      <w:r>
        <w:rPr>
          <w:rFonts w:ascii="Work Sans" w:hAnsi="Work Sans" w:cs="Arial"/>
          <w:i/>
          <w:iCs/>
          <w:sz w:val="18"/>
          <w:szCs w:val="18"/>
        </w:rPr>
        <w:t xml:space="preserve">  los oficios con radicado INVÍAS Nos. 40465, 40467 y 40469 del 12 de junio de 2020, mediante los cuales el Concejo Municipal de Pereira, la Gobernación de Risara</w:t>
      </w:r>
      <w:r>
        <w:rPr>
          <w:rFonts w:ascii="Work Sans" w:hAnsi="Work Sans" w:cs="Arial"/>
          <w:i/>
          <w:iCs/>
          <w:sz w:val="18"/>
          <w:szCs w:val="18"/>
        </w:rPr>
        <w:t>lda y la Empresa MEGABUS, respectivamente, solicitan de manera unísona que se conceda la exención del cobro de peaje a los vehículos que prestan servicio público de transporte intermunicipal y/o masivo, pertenecientes a empresas de transporte público vincu</w:t>
      </w:r>
      <w:r>
        <w:rPr>
          <w:rFonts w:ascii="Work Sans" w:hAnsi="Work Sans" w:cs="Arial"/>
          <w:i/>
          <w:iCs/>
          <w:sz w:val="18"/>
          <w:szCs w:val="18"/>
        </w:rPr>
        <w:t>ladas a los Sistemas Integrados de Transporte Masivo del Área Metropolitana de Centro Occidente, MEGABUS, en razón a las situaciones generadas por la Pandemia del COVID-19, indicando que se ha golpeado severamente la industria del transporte público, y que</w:t>
      </w:r>
      <w:r>
        <w:rPr>
          <w:rFonts w:ascii="Work Sans" w:hAnsi="Work Sans" w:cs="Arial"/>
          <w:i/>
          <w:iCs/>
          <w:sz w:val="18"/>
          <w:szCs w:val="18"/>
        </w:rPr>
        <w:t xml:space="preserve"> para el caso de MEGABUS S.A. el pago de peaje genera un déficit del 35% sobre el equilibrio económico, debido a la baja demanda por las restricciones de aislamiento selectivo, situación que se ahonda por la poca capacidad de pago de quienes utilizan esa r</w:t>
      </w:r>
      <w:r>
        <w:rPr>
          <w:rFonts w:ascii="Work Sans" w:hAnsi="Work Sans" w:cs="Arial"/>
          <w:i/>
          <w:iCs/>
          <w:sz w:val="18"/>
          <w:szCs w:val="18"/>
        </w:rPr>
        <w:t>uta, o, por el contrario, considerar el aumento de pasos con tarifa especial con los que actualmente cuentan los vehículos del Sistema de Transporte Masivo del Área Metropolitana Centro Occidente -MEGABUS, de 60 pasos/día con tarifa diferencial a 120 pasos</w:t>
      </w:r>
      <w:r>
        <w:rPr>
          <w:rFonts w:ascii="Work Sans" w:hAnsi="Work Sans" w:cs="Arial"/>
          <w:i/>
          <w:iCs/>
          <w:sz w:val="18"/>
          <w:szCs w:val="18"/>
        </w:rPr>
        <w:t>/día.</w:t>
      </w:r>
    </w:p>
    <w:p w14:paraId="595C6ABD" w14:textId="77777777" w:rsidR="0092444B" w:rsidRDefault="0092444B">
      <w:pPr>
        <w:ind w:left="567" w:right="481"/>
        <w:jc w:val="both"/>
        <w:rPr>
          <w:rFonts w:ascii="Work Sans" w:hAnsi="Work Sans" w:cs="Arial"/>
          <w:i/>
          <w:iCs/>
          <w:sz w:val="18"/>
          <w:szCs w:val="18"/>
        </w:rPr>
      </w:pPr>
    </w:p>
    <w:p w14:paraId="4977C49A" w14:textId="77777777" w:rsidR="0092444B" w:rsidRDefault="00EB4521">
      <w:pPr>
        <w:widowControl/>
        <w:numPr>
          <w:ilvl w:val="0"/>
          <w:numId w:val="20"/>
        </w:numPr>
        <w:ind w:right="481"/>
        <w:jc w:val="both"/>
        <w:textAlignment w:val="auto"/>
      </w:pPr>
      <w:r>
        <w:rPr>
          <w:rFonts w:ascii="Work Sans" w:hAnsi="Work Sans" w:cs="Arial"/>
          <w:i/>
          <w:iCs/>
          <w:sz w:val="18"/>
          <w:szCs w:val="18"/>
        </w:rPr>
        <w:t>Que para la viabilidad de las tarifas diferenciales se tuvieron en cuenta los soportes, estudios y antecedentes, presentados para el establecimiento de tarifas diferenciales de peaje en el marco del contrato de Concesión GG-046 de 2004, suscrito por</w:t>
      </w:r>
      <w:r>
        <w:rPr>
          <w:rFonts w:ascii="Work Sans" w:hAnsi="Work Sans" w:cs="Arial"/>
          <w:i/>
          <w:iCs/>
          <w:sz w:val="18"/>
          <w:szCs w:val="18"/>
        </w:rPr>
        <w:t xml:space="preserve"> el Instituto Nacional de Concesiones, INCO, hoy Agencia Nacional de Infraestructura ANI, el 2 de agosto de 2004 con la sociedad Concesionaria de Occidente S.A, y los cuales soportaron la expedición de las Resoluciones No. 003039 de 2013,  No.1945 del 14 d</w:t>
      </w:r>
      <w:r>
        <w:rPr>
          <w:rFonts w:ascii="Work Sans" w:hAnsi="Work Sans" w:cs="Arial"/>
          <w:i/>
          <w:iCs/>
          <w:sz w:val="18"/>
          <w:szCs w:val="18"/>
        </w:rPr>
        <w:t xml:space="preserve">e julio del 2014, modificada por la Resolución No. 177 de 2015,  y prorrogada por la Resolución 5404 del 1º de noviembre del año 2019, por parte del Ministerio de Transporte.  </w:t>
      </w:r>
    </w:p>
    <w:p w14:paraId="12BE3006" w14:textId="77777777" w:rsidR="0092444B" w:rsidRDefault="0092444B">
      <w:pPr>
        <w:ind w:right="481"/>
        <w:jc w:val="both"/>
        <w:rPr>
          <w:rFonts w:ascii="Work Sans" w:hAnsi="Work Sans" w:cs="Arial"/>
          <w:i/>
          <w:iCs/>
          <w:sz w:val="18"/>
          <w:szCs w:val="18"/>
        </w:rPr>
      </w:pPr>
    </w:p>
    <w:p w14:paraId="2545151F" w14:textId="77777777" w:rsidR="0092444B" w:rsidRDefault="00EB4521">
      <w:pPr>
        <w:widowControl/>
        <w:numPr>
          <w:ilvl w:val="0"/>
          <w:numId w:val="20"/>
        </w:numPr>
        <w:ind w:right="481"/>
        <w:jc w:val="both"/>
        <w:textAlignment w:val="auto"/>
      </w:pPr>
      <w:bookmarkStart w:id="7" w:name="_Hlk61362037"/>
      <w:r>
        <w:rPr>
          <w:rFonts w:ascii="Work Sans" w:hAnsi="Work Sans" w:cs="Arial"/>
          <w:i/>
          <w:iCs/>
          <w:sz w:val="18"/>
          <w:szCs w:val="18"/>
        </w:rPr>
        <w:t xml:space="preserve">Que en virtud de lo anterior, mediante memorando interno SEI GPV 987 de 12 </w:t>
      </w:r>
      <w:r>
        <w:rPr>
          <w:rFonts w:ascii="Work Sans" w:hAnsi="Work Sans" w:cs="Arial"/>
          <w:i/>
          <w:iCs/>
          <w:sz w:val="18"/>
          <w:szCs w:val="18"/>
        </w:rPr>
        <w:t>de enero de 2021, el Coordinador del Grupo de Peajes y Valorización de la Subdirección de Estudios e Innovación del INVIAS, emite “Concepto Técnico, financiero y de impacto socio económico sobre la decisión de continuar con el otorgamiento del beneficio de</w:t>
      </w:r>
      <w:r>
        <w:rPr>
          <w:rFonts w:ascii="Work Sans" w:hAnsi="Work Sans" w:cs="Arial"/>
          <w:i/>
          <w:iCs/>
          <w:sz w:val="18"/>
          <w:szCs w:val="18"/>
        </w:rPr>
        <w:t xml:space="preserve"> tarifas diferenciales para los habitantes del área de influencia del mencionado peaje, así como para los vehículos de servicio público de transporte intermunicipal y/o masivo, pertenecientes a empresas de transporte público vinculadas a los Sistemas Integ</w:t>
      </w:r>
      <w:r>
        <w:rPr>
          <w:rFonts w:ascii="Work Sans" w:hAnsi="Work Sans" w:cs="Arial"/>
          <w:i/>
          <w:iCs/>
          <w:sz w:val="18"/>
          <w:szCs w:val="18"/>
        </w:rPr>
        <w:t>rados de Transporte Masivo del Área Metropolitana de Centro Occidente (MEGABUS) contempladas en la Resolución No.1945 de 2014, modificada por la Resolución No. 177 de 2015 prorrogada por la Resolución 5404 del 1º de noviembre del año 2019, expedidas por el</w:t>
      </w:r>
      <w:r>
        <w:rPr>
          <w:rFonts w:ascii="Work Sans" w:hAnsi="Work Sans" w:cs="Arial"/>
          <w:i/>
          <w:iCs/>
          <w:sz w:val="18"/>
          <w:szCs w:val="18"/>
        </w:rPr>
        <w:t xml:space="preserve"> Ministerio de Transporte”, el cual entre otras consideraciones enuncia que: “(…) </w:t>
      </w:r>
      <w:r>
        <w:rPr>
          <w:rFonts w:ascii="Work Sans" w:hAnsi="Work Sans" w:cs="Arial"/>
          <w:bCs/>
          <w:i/>
          <w:iCs/>
          <w:sz w:val="18"/>
          <w:szCs w:val="18"/>
          <w:lang w:val="es-CO"/>
        </w:rPr>
        <w:t xml:space="preserve">Que a la fecha ya se dieron las condiciones de plazo contemplados en la Resolución </w:t>
      </w:r>
      <w:r>
        <w:rPr>
          <w:rFonts w:ascii="Work Sans" w:hAnsi="Work Sans" w:cs="Arial"/>
          <w:bCs/>
          <w:i/>
          <w:iCs/>
          <w:sz w:val="18"/>
          <w:szCs w:val="18"/>
        </w:rPr>
        <w:t>No. 5404 de 1º de noviembre del año 2019, ni se realizó  por parte de la Agencia Nacional d</w:t>
      </w:r>
      <w:r>
        <w:rPr>
          <w:rFonts w:ascii="Work Sans" w:hAnsi="Work Sans" w:cs="Arial"/>
          <w:bCs/>
          <w:i/>
          <w:iCs/>
          <w:sz w:val="18"/>
          <w:szCs w:val="18"/>
        </w:rPr>
        <w:t>e Infraestructura reversión de la Estación de Peaje Cerritos II y conforme a las solicitudes realizadas por la comunidad, aunado a las diferentes solicitudes elevadas por las empresas que prestan servicio público de transporte intermunicipal y/o masivo, pe</w:t>
      </w:r>
      <w:r>
        <w:rPr>
          <w:rFonts w:ascii="Work Sans" w:hAnsi="Work Sans" w:cs="Arial"/>
          <w:bCs/>
          <w:i/>
          <w:iCs/>
          <w:sz w:val="18"/>
          <w:szCs w:val="18"/>
        </w:rPr>
        <w:t xml:space="preserve">rtenecientes a empresas de transporte público vinculadas a los Sistemas Integrados de Transporte Masivo, </w:t>
      </w:r>
      <w:r>
        <w:rPr>
          <w:rFonts w:ascii="Work Sans" w:hAnsi="Work Sans" w:cs="Arial"/>
          <w:bCs/>
          <w:i/>
          <w:iCs/>
          <w:sz w:val="18"/>
          <w:szCs w:val="18"/>
          <w:lang w:bidi="es-ES"/>
        </w:rPr>
        <w:t>la Gobernación de Risaralda y el Concejo de Pereira</w:t>
      </w:r>
      <w:r>
        <w:rPr>
          <w:rFonts w:ascii="Work Sans" w:hAnsi="Work Sans" w:cs="Arial"/>
          <w:bCs/>
          <w:i/>
          <w:iCs/>
          <w:sz w:val="18"/>
          <w:szCs w:val="18"/>
        </w:rPr>
        <w:t xml:space="preserve"> para que se les otorgue el beneficio con tarifa especial en el peaje de </w:t>
      </w:r>
      <w:r>
        <w:rPr>
          <w:rFonts w:ascii="Work Sans" w:hAnsi="Work Sans" w:cs="Arial"/>
          <w:bCs/>
          <w:i/>
          <w:iCs/>
          <w:sz w:val="18"/>
          <w:szCs w:val="18"/>
        </w:rPr>
        <w:lastRenderedPageBreak/>
        <w:t xml:space="preserve">"Cerritos II" del corredor </w:t>
      </w:r>
      <w:r>
        <w:rPr>
          <w:rFonts w:ascii="Work Sans" w:hAnsi="Work Sans" w:cs="Arial"/>
          <w:bCs/>
          <w:i/>
          <w:iCs/>
          <w:sz w:val="18"/>
          <w:szCs w:val="18"/>
        </w:rPr>
        <w:t xml:space="preserve">vial Pereira - La Victoria y lo descrito anteriormente se considera procedente </w:t>
      </w:r>
      <w:bookmarkStart w:id="8" w:name="_Hlk61353768"/>
      <w:r>
        <w:rPr>
          <w:rFonts w:ascii="Work Sans" w:hAnsi="Work Sans" w:cs="Arial"/>
          <w:bCs/>
          <w:i/>
          <w:iCs/>
          <w:sz w:val="18"/>
          <w:szCs w:val="18"/>
        </w:rPr>
        <w:t>continuar con el otorgamiento del beneficio de tarifas diferenciales para los habitantes del área de influencia del mencionado peaje,</w:t>
      </w:r>
      <w:r>
        <w:rPr>
          <w:rFonts w:ascii="Work Sans" w:hAnsi="Work Sans" w:cs="Arial"/>
          <w:bCs/>
          <w:i/>
          <w:iCs/>
          <w:sz w:val="18"/>
          <w:szCs w:val="18"/>
          <w:lang w:bidi="es-ES"/>
        </w:rPr>
        <w:t xml:space="preserve"> así como para los vehículos de servicio púb</w:t>
      </w:r>
      <w:r>
        <w:rPr>
          <w:rFonts w:ascii="Work Sans" w:hAnsi="Work Sans" w:cs="Arial"/>
          <w:bCs/>
          <w:i/>
          <w:iCs/>
          <w:sz w:val="18"/>
          <w:szCs w:val="18"/>
          <w:lang w:bidi="es-ES"/>
        </w:rPr>
        <w:t>lico de transporte intermunicipal y/o masivo, pertenecientes a empresas de transporte público vinculadas a los Sistemas Integrados de Transporte Masivo del Área Metropolitana de Centro Occidente (MEGABUS)</w:t>
      </w:r>
      <w:r>
        <w:rPr>
          <w:rFonts w:ascii="Work Sans" w:hAnsi="Work Sans" w:cs="Arial"/>
          <w:bCs/>
          <w:i/>
          <w:iCs/>
          <w:sz w:val="18"/>
          <w:szCs w:val="18"/>
        </w:rPr>
        <w:t xml:space="preserve"> contempladas en la </w:t>
      </w:r>
      <w:r>
        <w:rPr>
          <w:rFonts w:ascii="Work Sans" w:hAnsi="Work Sans" w:cs="Arial"/>
          <w:bCs/>
          <w:i/>
          <w:iCs/>
          <w:sz w:val="18"/>
          <w:szCs w:val="18"/>
          <w:lang w:bidi="es-ES"/>
        </w:rPr>
        <w:t>Resolución No.1945 de 2014,</w:t>
      </w:r>
      <w:r>
        <w:rPr>
          <w:rFonts w:ascii="Work Sans" w:hAnsi="Work Sans" w:cs="Arial"/>
          <w:bCs/>
          <w:i/>
          <w:iCs/>
          <w:sz w:val="18"/>
          <w:szCs w:val="18"/>
        </w:rPr>
        <w:t xml:space="preserve"> modi</w:t>
      </w:r>
      <w:r>
        <w:rPr>
          <w:rFonts w:ascii="Work Sans" w:hAnsi="Work Sans" w:cs="Arial"/>
          <w:bCs/>
          <w:i/>
          <w:iCs/>
          <w:sz w:val="18"/>
          <w:szCs w:val="18"/>
        </w:rPr>
        <w:t>ficada por la Resolución No. 177 de 2015 prorrogada por la Resolución 5404 del 1º de noviembre del año 2019</w:t>
      </w:r>
      <w:r>
        <w:rPr>
          <w:rFonts w:ascii="Work Sans" w:hAnsi="Work Sans" w:cs="Arial"/>
          <w:bCs/>
          <w:i/>
          <w:iCs/>
          <w:sz w:val="18"/>
          <w:szCs w:val="18"/>
          <w:lang w:bidi="es-ES"/>
        </w:rPr>
        <w:t>, expedidas por el Ministerio de Transporte</w:t>
      </w:r>
      <w:bookmarkEnd w:id="8"/>
      <w:r>
        <w:rPr>
          <w:rFonts w:ascii="Work Sans" w:hAnsi="Work Sans" w:cs="Arial"/>
          <w:bCs/>
          <w:i/>
          <w:iCs/>
          <w:sz w:val="18"/>
          <w:szCs w:val="18"/>
        </w:rPr>
        <w:t xml:space="preserve"> (…).</w:t>
      </w:r>
    </w:p>
    <w:p w14:paraId="66480FEA" w14:textId="77777777" w:rsidR="0092444B" w:rsidRDefault="0092444B">
      <w:pPr>
        <w:ind w:left="720" w:right="481"/>
        <w:jc w:val="both"/>
        <w:rPr>
          <w:rFonts w:ascii="Work Sans" w:hAnsi="Work Sans" w:cs="Arial"/>
          <w:i/>
          <w:iCs/>
          <w:sz w:val="18"/>
          <w:szCs w:val="18"/>
        </w:rPr>
      </w:pPr>
    </w:p>
    <w:p w14:paraId="7597730C" w14:textId="77777777" w:rsidR="0092444B" w:rsidRDefault="00EB4521">
      <w:pPr>
        <w:ind w:left="720" w:right="481"/>
        <w:jc w:val="both"/>
      </w:pPr>
      <w:r>
        <w:rPr>
          <w:rFonts w:ascii="Work Sans" w:hAnsi="Work Sans" w:cs="Arial"/>
          <w:bCs/>
          <w:i/>
          <w:iCs/>
          <w:sz w:val="18"/>
          <w:szCs w:val="18"/>
          <w:lang w:bidi="es-ES"/>
        </w:rPr>
        <w:t xml:space="preserve">“Que </w:t>
      </w:r>
      <w:r>
        <w:rPr>
          <w:rFonts w:ascii="Work Sans" w:hAnsi="Work Sans" w:cs="Arial"/>
          <w:i/>
          <w:iCs/>
          <w:sz w:val="18"/>
          <w:szCs w:val="18"/>
          <w:lang w:bidi="es-ES"/>
        </w:rPr>
        <w:t xml:space="preserve">de acuerdo con el análisis financiero realizado por nuestro contratista </w:t>
      </w:r>
      <w:r>
        <w:rPr>
          <w:rFonts w:ascii="Work Sans" w:hAnsi="Work Sans" w:cs="Arial"/>
          <w:i/>
          <w:iCs/>
          <w:sz w:val="18"/>
          <w:szCs w:val="18"/>
          <w:lang w:bidi="es-ES"/>
        </w:rPr>
        <w:t>Concesionario de recaudo de peaje, y lo manifestado en el numeral 10 de este oficio, en atención a que el aumento de pasos / día para los vehículos del sistema MEGABUS no genera impacto en el modelo económico del contrato de concesión vigente, se considera</w:t>
      </w:r>
      <w:r>
        <w:rPr>
          <w:rFonts w:ascii="Work Sans" w:hAnsi="Work Sans" w:cs="Arial"/>
          <w:i/>
          <w:iCs/>
          <w:sz w:val="18"/>
          <w:szCs w:val="18"/>
          <w:lang w:bidi="es-ES"/>
        </w:rPr>
        <w:t xml:space="preserve"> que la adopción de dicha medida es procedente dado que no impacta negativamente en el recaudo, ni en la modelación financiera del contrato de concesión, aunado a que por el contrario si impactará positivamente en el sentido socio económico, conforme lo ma</w:t>
      </w:r>
      <w:r>
        <w:rPr>
          <w:rFonts w:ascii="Work Sans" w:hAnsi="Work Sans" w:cs="Arial"/>
          <w:i/>
          <w:iCs/>
          <w:sz w:val="18"/>
          <w:szCs w:val="18"/>
          <w:lang w:bidi="es-ES"/>
        </w:rPr>
        <w:t>nifestado por la comunidad a través de la Gobernación de Risaralda y del Concejo de Pereira, en sus oficios presentados ante el Instituto mediante radicados 40467 y 40465 del 12 de Junio de 2020. (…)”.</w:t>
      </w:r>
    </w:p>
    <w:p w14:paraId="4E259AE7" w14:textId="77777777" w:rsidR="0092444B" w:rsidRDefault="0092444B">
      <w:pPr>
        <w:ind w:right="481"/>
        <w:jc w:val="both"/>
        <w:rPr>
          <w:rFonts w:ascii="Work Sans" w:hAnsi="Work Sans" w:cs="Arial"/>
          <w:i/>
          <w:iCs/>
          <w:sz w:val="18"/>
          <w:szCs w:val="18"/>
        </w:rPr>
      </w:pPr>
    </w:p>
    <w:bookmarkEnd w:id="7"/>
    <w:p w14:paraId="13B48063" w14:textId="77777777" w:rsidR="0092444B" w:rsidRDefault="00EB4521">
      <w:pPr>
        <w:widowControl/>
        <w:numPr>
          <w:ilvl w:val="0"/>
          <w:numId w:val="20"/>
        </w:numPr>
        <w:ind w:right="481"/>
        <w:jc w:val="both"/>
        <w:textAlignment w:val="auto"/>
      </w:pPr>
      <w:r>
        <w:rPr>
          <w:rFonts w:ascii="Work Sans" w:hAnsi="Work Sans" w:cs="Arial"/>
          <w:i/>
          <w:iCs/>
          <w:sz w:val="18"/>
          <w:szCs w:val="18"/>
        </w:rPr>
        <w:t>Que teniendo en cuenta que actualmente el Peaje “Cerr</w:t>
      </w:r>
      <w:r>
        <w:rPr>
          <w:rFonts w:ascii="Work Sans" w:hAnsi="Work Sans" w:cs="Arial"/>
          <w:i/>
          <w:iCs/>
          <w:sz w:val="18"/>
          <w:szCs w:val="18"/>
        </w:rPr>
        <w:t xml:space="preserve">itos II” se encuentra operado a través del Contrato de Concesión No. 1059 de 2016, por el concesionario VIPSA 2016, se solicitó a </w:t>
      </w:r>
      <w:proofErr w:type="gramStart"/>
      <w:r>
        <w:rPr>
          <w:rFonts w:ascii="Work Sans" w:hAnsi="Work Sans" w:cs="Arial"/>
          <w:i/>
          <w:iCs/>
          <w:sz w:val="18"/>
          <w:szCs w:val="18"/>
        </w:rPr>
        <w:t>éste</w:t>
      </w:r>
      <w:proofErr w:type="gramEnd"/>
      <w:r>
        <w:rPr>
          <w:rFonts w:ascii="Work Sans" w:hAnsi="Work Sans" w:cs="Arial"/>
          <w:i/>
          <w:iCs/>
          <w:sz w:val="18"/>
          <w:szCs w:val="18"/>
        </w:rPr>
        <w:t xml:space="preserve"> concepto técnico y financiero sobre el impacto que se generaría con la ampliación de cupos o pasos de tarifa diferencial </w:t>
      </w:r>
      <w:r>
        <w:rPr>
          <w:rFonts w:ascii="Work Sans" w:hAnsi="Work Sans" w:cs="Arial"/>
          <w:i/>
          <w:iCs/>
          <w:sz w:val="18"/>
          <w:szCs w:val="18"/>
        </w:rPr>
        <w:t>de 60 a 120 pasos/día de los vehículos adscritos al sistema MEGABUS.</w:t>
      </w:r>
    </w:p>
    <w:p w14:paraId="0EAE2218" w14:textId="77777777" w:rsidR="0092444B" w:rsidRDefault="0092444B">
      <w:pPr>
        <w:ind w:left="567" w:right="481"/>
        <w:jc w:val="both"/>
        <w:rPr>
          <w:rFonts w:ascii="Work Sans" w:hAnsi="Work Sans" w:cs="Arial"/>
          <w:i/>
          <w:iCs/>
          <w:sz w:val="18"/>
          <w:szCs w:val="18"/>
        </w:rPr>
      </w:pPr>
    </w:p>
    <w:p w14:paraId="495EBB2D" w14:textId="77777777" w:rsidR="0092444B" w:rsidRDefault="00EB4521">
      <w:pPr>
        <w:widowControl/>
        <w:numPr>
          <w:ilvl w:val="0"/>
          <w:numId w:val="20"/>
        </w:numPr>
        <w:ind w:right="481"/>
        <w:jc w:val="both"/>
        <w:textAlignment w:val="auto"/>
      </w:pPr>
      <w:r>
        <w:rPr>
          <w:rFonts w:ascii="Work Sans" w:hAnsi="Work Sans" w:cs="Arial"/>
          <w:i/>
          <w:iCs/>
          <w:sz w:val="18"/>
          <w:szCs w:val="18"/>
        </w:rPr>
        <w:t>Que con oficio No.1200-GG—033-21, el Concesionario VIPSA 2016, el día 08 de enero de 2021 manifestó: “En atención a su solicitud comedidamente informamos que para atender la solicitud re</w:t>
      </w:r>
      <w:r>
        <w:rPr>
          <w:rFonts w:ascii="Work Sans" w:hAnsi="Work Sans" w:cs="Arial"/>
          <w:i/>
          <w:iCs/>
          <w:sz w:val="18"/>
          <w:szCs w:val="18"/>
        </w:rPr>
        <w:t xml:space="preserve">alizada por el Concejo Municipal de Pereira, para ampliar los pasos del transporte masivo MEGABUS por el peaje Cerritos II, que actualmente goza del beneficio de tarifa diferencial con un número de 60 pasos al día a 120 pasos al día, comedidamente </w:t>
      </w:r>
      <w:r>
        <w:rPr>
          <w:rFonts w:ascii="Work Sans" w:hAnsi="Work Sans" w:cs="Arial"/>
          <w:bCs/>
          <w:i/>
          <w:iCs/>
          <w:sz w:val="18"/>
          <w:szCs w:val="18"/>
        </w:rPr>
        <w:t>informam</w:t>
      </w:r>
      <w:r>
        <w:rPr>
          <w:rFonts w:ascii="Work Sans" w:hAnsi="Work Sans" w:cs="Arial"/>
          <w:bCs/>
          <w:i/>
          <w:iCs/>
          <w:sz w:val="18"/>
          <w:szCs w:val="18"/>
        </w:rPr>
        <w:t>os que esta situación no tiene impacto que afecte en el modelo económico del contrato</w:t>
      </w:r>
      <w:r>
        <w:rPr>
          <w:rFonts w:ascii="Work Sans" w:hAnsi="Work Sans" w:cs="Arial"/>
          <w:i/>
          <w:iCs/>
          <w:sz w:val="18"/>
          <w:szCs w:val="18"/>
        </w:rPr>
        <w:t>.”</w:t>
      </w:r>
    </w:p>
    <w:p w14:paraId="523F79A0" w14:textId="77777777" w:rsidR="0092444B" w:rsidRDefault="0092444B">
      <w:pPr>
        <w:ind w:left="567" w:right="481"/>
        <w:jc w:val="both"/>
        <w:rPr>
          <w:rFonts w:ascii="Work Sans" w:hAnsi="Work Sans" w:cs="Arial"/>
          <w:i/>
          <w:iCs/>
          <w:sz w:val="18"/>
          <w:szCs w:val="18"/>
        </w:rPr>
      </w:pPr>
    </w:p>
    <w:p w14:paraId="6829C584" w14:textId="77777777" w:rsidR="0092444B" w:rsidRDefault="00EB4521">
      <w:pPr>
        <w:widowControl/>
        <w:numPr>
          <w:ilvl w:val="0"/>
          <w:numId w:val="20"/>
        </w:numPr>
        <w:ind w:right="481"/>
        <w:jc w:val="both"/>
        <w:textAlignment w:val="auto"/>
      </w:pPr>
      <w:r>
        <w:rPr>
          <w:rFonts w:ascii="Work Sans" w:hAnsi="Work Sans" w:cs="Arial"/>
          <w:i/>
          <w:iCs/>
          <w:sz w:val="18"/>
          <w:szCs w:val="18"/>
        </w:rPr>
        <w:t>Que por las razones dadas, anteriormente, se hace necesario continuar con el régimen tarifario establecido en la Resolución No.1945 del 14 de julio del 2014, modificad</w:t>
      </w:r>
      <w:r>
        <w:rPr>
          <w:rFonts w:ascii="Work Sans" w:hAnsi="Work Sans" w:cs="Arial"/>
          <w:i/>
          <w:iCs/>
          <w:sz w:val="18"/>
          <w:szCs w:val="18"/>
        </w:rPr>
        <w:t>a por la Resolución No. 177 de 2015, prorrogada por la Resolución 5404 del 1º de noviembre del año 2019, generando el incremento que tenga lugar de conformidad con lo establecido en el artículo 20 de la Resolución 0000228 de 2013, adicionado por la Resoluc</w:t>
      </w:r>
      <w:r>
        <w:rPr>
          <w:rFonts w:ascii="Work Sans" w:hAnsi="Work Sans" w:cs="Arial"/>
          <w:i/>
          <w:iCs/>
          <w:sz w:val="18"/>
          <w:szCs w:val="18"/>
        </w:rPr>
        <w:t>ión 001859 de 2014 emitida por el Ministerio de Transporte “Por la cual se fijan las tarifas de peaje para las estaciones a cargo del Instituto Nacional de Vías - INVIAS y se dictan otras disposiciones".</w:t>
      </w:r>
    </w:p>
    <w:p w14:paraId="258B435A" w14:textId="77777777" w:rsidR="0092444B" w:rsidRDefault="0092444B">
      <w:pPr>
        <w:ind w:right="481"/>
        <w:jc w:val="both"/>
        <w:rPr>
          <w:rFonts w:ascii="Work Sans" w:hAnsi="Work Sans" w:cs="Arial"/>
          <w:i/>
          <w:iCs/>
          <w:sz w:val="18"/>
          <w:szCs w:val="18"/>
        </w:rPr>
      </w:pPr>
    </w:p>
    <w:p w14:paraId="6AA3AAD6" w14:textId="77777777" w:rsidR="0092444B" w:rsidRDefault="00EB4521">
      <w:pPr>
        <w:ind w:left="709" w:right="481"/>
        <w:jc w:val="both"/>
        <w:rPr>
          <w:rFonts w:ascii="Work Sans" w:hAnsi="Work Sans" w:cs="Arial"/>
          <w:i/>
          <w:sz w:val="18"/>
          <w:szCs w:val="18"/>
        </w:rPr>
      </w:pPr>
      <w:r>
        <w:rPr>
          <w:rFonts w:ascii="Work Sans" w:hAnsi="Work Sans" w:cs="Arial"/>
          <w:i/>
          <w:sz w:val="18"/>
          <w:szCs w:val="18"/>
        </w:rPr>
        <w:t>En ese sentido, comedidamente solicitamos a su Desp</w:t>
      </w:r>
      <w:r>
        <w:rPr>
          <w:rFonts w:ascii="Work Sans" w:hAnsi="Work Sans" w:cs="Arial"/>
          <w:i/>
          <w:sz w:val="18"/>
          <w:szCs w:val="18"/>
        </w:rPr>
        <w:t>acho, se emita concepto vinculante, así como el respectivo acto administrativo por medio del cual se establecen las tarifas diferenciales correspondientes a las Categorías I y II para la estación de peaje “CERRITOS II”, establecidas mediante Resolución No.</w:t>
      </w:r>
      <w:r>
        <w:rPr>
          <w:rFonts w:ascii="Work Sans" w:hAnsi="Work Sans" w:cs="Arial"/>
          <w:i/>
          <w:sz w:val="18"/>
          <w:szCs w:val="18"/>
        </w:rPr>
        <w:t xml:space="preserve"> 1945 del 14 de julio del 2014, modificada por la Resolución No. 177 de 2015 y prorrogada por la Resolución 5404 del 1º de noviembre del año 2019, de conformidad con las consideraciones detalladas con anterioridad.</w:t>
      </w:r>
    </w:p>
    <w:p w14:paraId="23DDB719" w14:textId="77777777" w:rsidR="0092444B" w:rsidRDefault="00EB4521">
      <w:pPr>
        <w:ind w:left="709" w:right="481"/>
        <w:jc w:val="both"/>
        <w:rPr>
          <w:rFonts w:ascii="Work Sans" w:hAnsi="Work Sans" w:cs="Arial"/>
          <w:i/>
          <w:sz w:val="18"/>
          <w:szCs w:val="18"/>
        </w:rPr>
      </w:pPr>
      <w:r>
        <w:rPr>
          <w:rFonts w:ascii="Work Sans" w:hAnsi="Work Sans" w:cs="Arial"/>
          <w:i/>
          <w:sz w:val="18"/>
          <w:szCs w:val="18"/>
        </w:rPr>
        <w:t> </w:t>
      </w:r>
    </w:p>
    <w:p w14:paraId="0BC60E61" w14:textId="77777777" w:rsidR="0092444B" w:rsidRDefault="00EB4521">
      <w:pPr>
        <w:ind w:left="709" w:right="481"/>
        <w:jc w:val="both"/>
      </w:pPr>
      <w:bookmarkStart w:id="9" w:name="_Hlk23259191"/>
      <w:r>
        <w:rPr>
          <w:rFonts w:ascii="Work Sans" w:hAnsi="Work Sans" w:cs="Arial"/>
          <w:i/>
          <w:sz w:val="18"/>
          <w:szCs w:val="18"/>
        </w:rPr>
        <w:t>Para los fines de rigor, adjunto al pre</w:t>
      </w:r>
      <w:r>
        <w:rPr>
          <w:rFonts w:ascii="Work Sans" w:hAnsi="Work Sans" w:cs="Arial"/>
          <w:i/>
          <w:sz w:val="18"/>
          <w:szCs w:val="18"/>
        </w:rPr>
        <w:t>sente oficio el proyecto de Resolución</w:t>
      </w:r>
      <w:r>
        <w:rPr>
          <w:rFonts w:ascii="Work Sans" w:hAnsi="Work Sans" w:cs="Arial"/>
          <w:i/>
          <w:sz w:val="18"/>
          <w:szCs w:val="18"/>
          <w:lang w:eastAsia="en-US"/>
        </w:rPr>
        <w:t xml:space="preserve"> </w:t>
      </w:r>
      <w:r>
        <w:rPr>
          <w:rFonts w:ascii="Work Sans" w:hAnsi="Work Sans" w:cs="Arial"/>
          <w:i/>
          <w:sz w:val="18"/>
          <w:szCs w:val="18"/>
        </w:rPr>
        <w:t xml:space="preserve">“Por la cual se prorrogan las tarifas diferenciales para las Categorías I y II en la estación Peaje "Cerritos II" y se dictan otras disposiciones” junto con los antecedentes necesarios, para el respectivo estudio por </w:t>
      </w:r>
      <w:r>
        <w:rPr>
          <w:rFonts w:ascii="Work Sans" w:hAnsi="Work Sans" w:cs="Arial"/>
          <w:i/>
          <w:sz w:val="18"/>
          <w:szCs w:val="18"/>
        </w:rPr>
        <w:t>parte de ese Ministerio</w:t>
      </w:r>
      <w:bookmarkEnd w:id="6"/>
      <w:r>
        <w:rPr>
          <w:rFonts w:ascii="Work Sans" w:hAnsi="Work Sans" w:cs="Arial"/>
          <w:i/>
          <w:sz w:val="18"/>
          <w:szCs w:val="18"/>
        </w:rPr>
        <w:t>”</w:t>
      </w:r>
    </w:p>
    <w:bookmarkEnd w:id="9"/>
    <w:p w14:paraId="48225FFA" w14:textId="77777777" w:rsidR="0092444B" w:rsidRDefault="0092444B">
      <w:pPr>
        <w:autoSpaceDE w:val="0"/>
        <w:ind w:left="709" w:right="481"/>
        <w:jc w:val="both"/>
        <w:rPr>
          <w:rFonts w:ascii="Work Sans" w:hAnsi="Work Sans" w:cs="Cambria"/>
          <w:i/>
          <w:sz w:val="18"/>
          <w:szCs w:val="18"/>
          <w:lang w:eastAsia="es-CO"/>
        </w:rPr>
      </w:pPr>
    </w:p>
    <w:p w14:paraId="69C8D142" w14:textId="77777777" w:rsidR="0092444B" w:rsidRDefault="00EB4521">
      <w:pPr>
        <w:pStyle w:val="Default"/>
        <w:jc w:val="both"/>
      </w:pPr>
      <w:r>
        <w:rPr>
          <w:rFonts w:ascii="Work Sans" w:hAnsi="Work Sans" w:cs="Cambria"/>
          <w:sz w:val="20"/>
          <w:szCs w:val="20"/>
        </w:rPr>
        <w:t xml:space="preserve">Que mediante oficio con número de radicado </w:t>
      </w:r>
      <w:r>
        <w:rPr>
          <w:rFonts w:ascii="Work Sans" w:hAnsi="Work Sans"/>
          <w:bCs/>
          <w:sz w:val="20"/>
          <w:szCs w:val="20"/>
        </w:rPr>
        <w:t xml:space="preserve">1200-GG-0033-21 del 8 de enero de 2021, el concesionario </w:t>
      </w:r>
      <w:proofErr w:type="spellStart"/>
      <w:r>
        <w:rPr>
          <w:rFonts w:ascii="Work Sans" w:hAnsi="Work Sans"/>
          <w:bCs/>
          <w:sz w:val="20"/>
          <w:szCs w:val="20"/>
        </w:rPr>
        <w:t>Vipsa</w:t>
      </w:r>
      <w:proofErr w:type="spellEnd"/>
      <w:r>
        <w:rPr>
          <w:rFonts w:ascii="Work Sans" w:hAnsi="Work Sans"/>
          <w:bCs/>
          <w:sz w:val="20"/>
          <w:szCs w:val="20"/>
        </w:rPr>
        <w:t xml:space="preserve"> 2016, se pronunció frente al aumento de pasos a </w:t>
      </w:r>
      <w:proofErr w:type="spellStart"/>
      <w:r>
        <w:rPr>
          <w:rFonts w:ascii="Work Sans" w:hAnsi="Work Sans"/>
          <w:bCs/>
          <w:sz w:val="20"/>
          <w:szCs w:val="20"/>
        </w:rPr>
        <w:t>Megabus</w:t>
      </w:r>
      <w:proofErr w:type="spellEnd"/>
      <w:r>
        <w:rPr>
          <w:rFonts w:ascii="Work Sans" w:hAnsi="Work Sans"/>
          <w:bCs/>
          <w:sz w:val="20"/>
          <w:szCs w:val="20"/>
        </w:rPr>
        <w:t xml:space="preserve"> en el siguiente sentido:</w:t>
      </w:r>
    </w:p>
    <w:p w14:paraId="5810D034" w14:textId="77777777" w:rsidR="0092444B" w:rsidRDefault="0092444B">
      <w:pPr>
        <w:widowControl/>
        <w:suppressAutoHyphens w:val="0"/>
        <w:autoSpaceDE w:val="0"/>
        <w:textAlignment w:val="auto"/>
        <w:rPr>
          <w:rFonts w:ascii="Arial" w:hAnsi="Arial" w:cs="Arial"/>
          <w:color w:val="000000"/>
          <w:kern w:val="0"/>
          <w:lang w:val="es-CO" w:eastAsia="es-CO" w:bidi="ar-SA"/>
        </w:rPr>
      </w:pPr>
    </w:p>
    <w:p w14:paraId="18104511" w14:textId="77777777" w:rsidR="0092444B" w:rsidRDefault="00EB4521">
      <w:pPr>
        <w:pStyle w:val="Default"/>
        <w:ind w:left="567" w:right="623"/>
        <w:jc w:val="both"/>
      </w:pPr>
      <w:r>
        <w:rPr>
          <w:rFonts w:ascii="Work Sans" w:hAnsi="Work Sans"/>
          <w:i/>
          <w:sz w:val="20"/>
          <w:szCs w:val="20"/>
        </w:rPr>
        <w:t xml:space="preserve">“En atención a </w:t>
      </w:r>
      <w:proofErr w:type="gramStart"/>
      <w:r>
        <w:rPr>
          <w:rFonts w:ascii="Work Sans" w:hAnsi="Work Sans"/>
          <w:i/>
          <w:sz w:val="20"/>
          <w:szCs w:val="20"/>
        </w:rPr>
        <w:t>sus solicitud</w:t>
      </w:r>
      <w:proofErr w:type="gramEnd"/>
      <w:r>
        <w:rPr>
          <w:rFonts w:ascii="Work Sans" w:hAnsi="Work Sans"/>
          <w:i/>
          <w:sz w:val="20"/>
          <w:szCs w:val="20"/>
        </w:rPr>
        <w:t xml:space="preserve"> </w:t>
      </w:r>
      <w:r>
        <w:rPr>
          <w:rFonts w:ascii="Work Sans" w:hAnsi="Work Sans"/>
          <w:i/>
          <w:sz w:val="20"/>
          <w:szCs w:val="20"/>
        </w:rPr>
        <w:t xml:space="preserve">comedidamente informamos que para atender la solicitud realizada por el Concejo Municipal de Pereira, para ampliar los </w:t>
      </w:r>
      <w:r>
        <w:rPr>
          <w:rFonts w:ascii="Work Sans" w:hAnsi="Work Sans"/>
          <w:i/>
          <w:sz w:val="20"/>
          <w:szCs w:val="20"/>
        </w:rPr>
        <w:lastRenderedPageBreak/>
        <w:t>pasos del transporte masivo MEGABUS por el peaje Cerritos II, que actualmente goza del beneficio de tarifa diferencial con un número de 6</w:t>
      </w:r>
      <w:r>
        <w:rPr>
          <w:rFonts w:ascii="Work Sans" w:hAnsi="Work Sans"/>
          <w:i/>
          <w:sz w:val="20"/>
          <w:szCs w:val="20"/>
        </w:rPr>
        <w:t>0 pasos al día a 120 pasos al día, comedidamente informamos que esta situación no tiene impacto que afecte en el modelo económico del contrato.”</w:t>
      </w:r>
    </w:p>
    <w:p w14:paraId="43365F6A" w14:textId="77777777" w:rsidR="0092444B" w:rsidRDefault="0092444B">
      <w:pPr>
        <w:pStyle w:val="Default"/>
        <w:jc w:val="both"/>
        <w:rPr>
          <w:rFonts w:ascii="Work Sans" w:hAnsi="Work Sans"/>
          <w:bCs/>
          <w:sz w:val="20"/>
          <w:szCs w:val="20"/>
        </w:rPr>
      </w:pPr>
    </w:p>
    <w:p w14:paraId="17F72EDE" w14:textId="77777777" w:rsidR="0092444B" w:rsidRDefault="00EB4521">
      <w:pPr>
        <w:jc w:val="both"/>
        <w:rPr>
          <w:rFonts w:ascii="Work Sans" w:hAnsi="Work Sans"/>
          <w:sz w:val="20"/>
          <w:szCs w:val="20"/>
        </w:rPr>
      </w:pPr>
      <w:r>
        <w:rPr>
          <w:rFonts w:ascii="Work Sans" w:hAnsi="Work Sans"/>
          <w:sz w:val="20"/>
          <w:szCs w:val="20"/>
        </w:rPr>
        <w:t xml:space="preserve">Que mediante memorando interno SEI-GPV 57608 de 29 de septiembre de 2020, el Coordinador del Grupo de </w:t>
      </w:r>
      <w:r>
        <w:rPr>
          <w:rFonts w:ascii="Work Sans" w:hAnsi="Work Sans"/>
          <w:sz w:val="20"/>
          <w:szCs w:val="20"/>
        </w:rPr>
        <w:t>Peajes y Valorización de la Subdirección de Estudios e Innovación del INVIAS, emite “Concepto Técnico, financiero y de impacto socio económico sobre la decisión de mantener una Tarifa Especial para los vehículos de servicio público de transporte intermunic</w:t>
      </w:r>
      <w:r>
        <w:rPr>
          <w:rFonts w:ascii="Work Sans" w:hAnsi="Work Sans"/>
          <w:sz w:val="20"/>
          <w:szCs w:val="20"/>
        </w:rPr>
        <w:t>ipal y/o masivo, pertenecientes a empresas de transporte público vinculadas a los Sistemas Integrados de Transporte Masivo del Área Metropolitana de Centro Occidente”, el cual entre otras consideraciones enuncia que:</w:t>
      </w:r>
    </w:p>
    <w:p w14:paraId="00CDA776" w14:textId="77777777" w:rsidR="0092444B" w:rsidRDefault="0092444B">
      <w:pPr>
        <w:jc w:val="both"/>
        <w:rPr>
          <w:rFonts w:ascii="Work Sans" w:hAnsi="Work Sans"/>
          <w:sz w:val="20"/>
          <w:szCs w:val="20"/>
        </w:rPr>
      </w:pPr>
    </w:p>
    <w:p w14:paraId="6C9DFECE" w14:textId="77777777" w:rsidR="0092444B" w:rsidRDefault="00EB4521">
      <w:pPr>
        <w:tabs>
          <w:tab w:val="left" w:pos="8222"/>
        </w:tabs>
        <w:ind w:left="567" w:right="339"/>
        <w:jc w:val="both"/>
        <w:rPr>
          <w:rFonts w:ascii="Work Sans" w:hAnsi="Work Sans"/>
          <w:i/>
          <w:sz w:val="18"/>
          <w:szCs w:val="18"/>
        </w:rPr>
      </w:pPr>
      <w:r>
        <w:rPr>
          <w:rFonts w:ascii="Work Sans" w:hAnsi="Work Sans"/>
          <w:i/>
          <w:sz w:val="18"/>
          <w:szCs w:val="18"/>
        </w:rPr>
        <w:t xml:space="preserve"> “(…) De acuerdo con el análisis finan</w:t>
      </w:r>
      <w:r>
        <w:rPr>
          <w:rFonts w:ascii="Work Sans" w:hAnsi="Work Sans"/>
          <w:i/>
          <w:sz w:val="18"/>
          <w:szCs w:val="18"/>
        </w:rPr>
        <w:t>ciero realizado por nuestro contratista del Concesionario de recaudo de peaje, y lo manifestado en el numeral 10 de este oficio, en atención a que el aumento de pasos / día para los vehículos del sistema MEGABUS no genera impacto en el modelo económico del</w:t>
      </w:r>
      <w:r>
        <w:rPr>
          <w:rFonts w:ascii="Work Sans" w:hAnsi="Work Sans"/>
          <w:i/>
          <w:sz w:val="18"/>
          <w:szCs w:val="18"/>
        </w:rPr>
        <w:t xml:space="preserve"> contrato de concesión vigente, se considera que la adopción de dicha medida es procedente dado que no impacta negativamente en el recaudo, ni en la modelación financiera del contrato de concesión, aunado a que por el contrario si impactará positivamente e</w:t>
      </w:r>
      <w:r>
        <w:rPr>
          <w:rFonts w:ascii="Work Sans" w:hAnsi="Work Sans"/>
          <w:i/>
          <w:sz w:val="18"/>
          <w:szCs w:val="18"/>
        </w:rPr>
        <w:t xml:space="preserve">n el sentido socio económico, conforme lo manifestado por la comunidad a través de la Gobernación de Risaralda y del Concejo de Pereira, en sus oficios presentados ante el Instituto mediante radicados 40467 y 40465 del 12 de junio de 2020, toda vez que la </w:t>
      </w:r>
      <w:r>
        <w:rPr>
          <w:rFonts w:ascii="Work Sans" w:hAnsi="Work Sans"/>
          <w:i/>
          <w:sz w:val="18"/>
          <w:szCs w:val="18"/>
        </w:rPr>
        <w:t>empresa MEGABUS podrá ampliar la frecuencia de sus recorridos cubriendo la demanda de usuarios, reduciendo así los tiempos de espera para sus desplazamientos, lo cual contribuirá a mejorar la prestación del servicio garantizando en gran medida la movilidad</w:t>
      </w:r>
      <w:r>
        <w:rPr>
          <w:rFonts w:ascii="Work Sans" w:hAnsi="Work Sans"/>
          <w:i/>
          <w:sz w:val="18"/>
          <w:szCs w:val="18"/>
        </w:rPr>
        <w:t xml:space="preserve"> a la mayoría de ciudadanos que necesitan del servicio, en virtud a que actualmente la oferta de buses no cubre la demanda total debido a la reducción de la capacidad en el transporte de pasajeros, como consecuencia de la implementación de normas de bioseg</w:t>
      </w:r>
      <w:r>
        <w:rPr>
          <w:rFonts w:ascii="Work Sans" w:hAnsi="Work Sans"/>
          <w:i/>
          <w:sz w:val="18"/>
          <w:szCs w:val="18"/>
        </w:rPr>
        <w:t>uridad, que obligan a desarrollar medidas necesarias que garanticen el aislamiento preventivo, limitando la posibilidad de trasladar el aumento en los costos de operación al usuario final.”</w:t>
      </w:r>
    </w:p>
    <w:p w14:paraId="044513BC" w14:textId="77777777" w:rsidR="0092444B" w:rsidRDefault="0092444B">
      <w:pPr>
        <w:autoSpaceDE w:val="0"/>
        <w:jc w:val="both"/>
        <w:rPr>
          <w:rFonts w:ascii="Work Sans" w:hAnsi="Work Sans" w:cs="Cambria"/>
          <w:sz w:val="20"/>
          <w:szCs w:val="20"/>
          <w:lang w:eastAsia="es-CO"/>
        </w:rPr>
      </w:pPr>
    </w:p>
    <w:p w14:paraId="6912CBB7" w14:textId="77777777" w:rsidR="0092444B" w:rsidRDefault="00EB4521">
      <w:pPr>
        <w:ind w:right="-1"/>
        <w:jc w:val="both"/>
        <w:rPr>
          <w:rFonts w:ascii="Work Sans" w:eastAsia="DengXian Light" w:hAnsi="Work Sans" w:cs="Arial"/>
          <w:sz w:val="20"/>
          <w:szCs w:val="20"/>
          <w:lang w:bidi="ar-SA"/>
        </w:rPr>
      </w:pPr>
      <w:r>
        <w:rPr>
          <w:rFonts w:ascii="Work Sans" w:eastAsia="DengXian Light" w:hAnsi="Work Sans" w:cs="Arial"/>
          <w:sz w:val="20"/>
          <w:szCs w:val="20"/>
          <w:lang w:bidi="ar-SA"/>
        </w:rPr>
        <w:t>Que conforme a las funciones y competencias del Instituto Naciona</w:t>
      </w:r>
      <w:r>
        <w:rPr>
          <w:rFonts w:ascii="Work Sans" w:eastAsia="DengXian Light" w:hAnsi="Work Sans" w:cs="Arial"/>
          <w:sz w:val="20"/>
          <w:szCs w:val="20"/>
          <w:lang w:bidi="ar-SA"/>
        </w:rPr>
        <w:t>l de Vías de conformidad con el Decreto 2618 de 2013, como entidad del sector descentralizado de la Rama Ejecutiva del Orden Nacional, con personería jurídica y autonomía administrativa, financiera y técnica, que tiene por objeto la ejecución entre otras d</w:t>
      </w:r>
      <w:r>
        <w:rPr>
          <w:rFonts w:ascii="Work Sans" w:eastAsia="DengXian Light" w:hAnsi="Work Sans" w:cs="Arial"/>
          <w:sz w:val="20"/>
          <w:szCs w:val="20"/>
          <w:lang w:bidi="ar-SA"/>
        </w:rPr>
        <w:t>e las políticas, estrategias, planes, programas y proyectos de la infraestructura no concesionada de la Red Vial Nacional de carreteras primaria y terciaria, y en atención a su conocimiento y análisis técnicos, reuniones de socialización, concertación y ac</w:t>
      </w:r>
      <w:r>
        <w:rPr>
          <w:rFonts w:ascii="Work Sans" w:eastAsia="DengXian Light" w:hAnsi="Work Sans" w:cs="Arial"/>
          <w:sz w:val="20"/>
          <w:szCs w:val="20"/>
          <w:lang w:bidi="ar-SA"/>
        </w:rPr>
        <w:t>uerdos con usuarios y comunidades, llevados a cabo en virtud de sus competencias funcionales, le corresponde al INVIAS fijar los requisitos para acreditar la calidad de beneficiario, el procedimiento para acceder al beneficio, los mecanismos de otorgamient</w:t>
      </w:r>
      <w:r>
        <w:rPr>
          <w:rFonts w:ascii="Work Sans" w:eastAsia="DengXian Light" w:hAnsi="Work Sans" w:cs="Arial"/>
          <w:sz w:val="20"/>
          <w:szCs w:val="20"/>
          <w:lang w:bidi="ar-SA"/>
        </w:rPr>
        <w:t xml:space="preserve">o, reemplazo y control y las causales de pérdida del beneficio, de las tasas diferenciales de peajes. </w:t>
      </w:r>
    </w:p>
    <w:p w14:paraId="111E2312" w14:textId="77777777" w:rsidR="0092444B" w:rsidRDefault="0092444B">
      <w:pPr>
        <w:jc w:val="both"/>
        <w:rPr>
          <w:rFonts w:ascii="Work Sans" w:eastAsia="Work Sans" w:hAnsi="Work Sans" w:cs="Work Sans"/>
          <w:sz w:val="20"/>
          <w:szCs w:val="20"/>
        </w:rPr>
      </w:pPr>
    </w:p>
    <w:p w14:paraId="4C34191E" w14:textId="77777777" w:rsidR="0092444B" w:rsidRDefault="00EB4521">
      <w:pPr>
        <w:jc w:val="both"/>
      </w:pPr>
      <w:r>
        <w:rPr>
          <w:rFonts w:ascii="Work Sans" w:eastAsia="Work Sans" w:hAnsi="Work Sans" w:cs="Work Sans"/>
          <w:sz w:val="20"/>
          <w:szCs w:val="20"/>
        </w:rPr>
        <w:t>Que mediante memorando 20211400004493 del 15 de enero de 2021, la Oficina de Regulación Económica del Ministerio de Transporte en cumplimiento del numer</w:t>
      </w:r>
      <w:r>
        <w:rPr>
          <w:rFonts w:ascii="Work Sans" w:eastAsia="Work Sans" w:hAnsi="Work Sans" w:cs="Work Sans"/>
          <w:sz w:val="20"/>
          <w:szCs w:val="20"/>
        </w:rPr>
        <w:t xml:space="preserve">al 9.8. del artículo 9° del Decreto 087 de 2011 analizó y viabilizó el establecimiento tarifas diferenciales </w:t>
      </w:r>
      <w:r>
        <w:rPr>
          <w:rFonts w:ascii="Work Sans" w:hAnsi="Work Sans" w:cs="Cambria"/>
          <w:i/>
          <w:iCs/>
          <w:sz w:val="20"/>
          <w:szCs w:val="20"/>
          <w:lang w:eastAsia="es-CO"/>
        </w:rPr>
        <w:t>para las Categorías I y II en la estación de Peaje "Cerritos II.</w:t>
      </w:r>
    </w:p>
    <w:p w14:paraId="05B47ADB" w14:textId="77777777" w:rsidR="0092444B" w:rsidRDefault="0092444B">
      <w:pPr>
        <w:jc w:val="both"/>
        <w:rPr>
          <w:rFonts w:ascii="Work Sans" w:hAnsi="Work Sans" w:cs="Cambria"/>
          <w:sz w:val="20"/>
          <w:szCs w:val="20"/>
        </w:rPr>
      </w:pPr>
    </w:p>
    <w:p w14:paraId="77D9C6B2" w14:textId="77777777" w:rsidR="0092444B" w:rsidRDefault="00EB4521">
      <w:pPr>
        <w:jc w:val="both"/>
        <w:rPr>
          <w:rFonts w:ascii="Work Sans" w:hAnsi="Work Sans" w:cs="Times New Roman"/>
          <w:sz w:val="20"/>
          <w:szCs w:val="20"/>
        </w:rPr>
      </w:pPr>
      <w:r>
        <w:rPr>
          <w:rFonts w:ascii="Work Sans" w:hAnsi="Work Sans" w:cs="Times New Roman"/>
          <w:sz w:val="20"/>
          <w:szCs w:val="20"/>
        </w:rPr>
        <w:t xml:space="preserve">Que el contenido de la presente Resolución fue publicado en la página web del </w:t>
      </w:r>
      <w:r>
        <w:rPr>
          <w:rFonts w:ascii="Work Sans" w:hAnsi="Work Sans" w:cs="Times New Roman"/>
          <w:sz w:val="20"/>
          <w:szCs w:val="20"/>
        </w:rPr>
        <w:t>Ministerio de Transporte y en la página Web del Instituto Nacional de Vías INVIAS, en cumplimiento de lo determinado en el numeral 8 del artículo 8° de la Ley 1437 de 2011, Decreto 1081 de 2015 modificado por el Decreto 270 de 2017, con el objeto de recibi</w:t>
      </w:r>
      <w:r>
        <w:rPr>
          <w:rFonts w:ascii="Work Sans" w:hAnsi="Work Sans" w:cs="Times New Roman"/>
          <w:sz w:val="20"/>
          <w:szCs w:val="20"/>
        </w:rPr>
        <w:t xml:space="preserve">r opiniones, sugerencias o propuestas alternativas y mediante certificaciones del </w:t>
      </w:r>
      <w:proofErr w:type="spellStart"/>
      <w:r>
        <w:rPr>
          <w:rFonts w:ascii="Work Sans" w:hAnsi="Work Sans" w:cs="Times New Roman"/>
          <w:sz w:val="20"/>
          <w:szCs w:val="20"/>
        </w:rPr>
        <w:t>xxx</w:t>
      </w:r>
      <w:proofErr w:type="spellEnd"/>
      <w:r>
        <w:rPr>
          <w:rFonts w:ascii="Work Sans" w:hAnsi="Work Sans" w:cs="Times New Roman"/>
          <w:sz w:val="20"/>
          <w:szCs w:val="20"/>
        </w:rPr>
        <w:t xml:space="preserve"> de </w:t>
      </w:r>
      <w:proofErr w:type="spellStart"/>
      <w:r>
        <w:rPr>
          <w:rFonts w:ascii="Work Sans" w:hAnsi="Work Sans" w:cs="Times New Roman"/>
          <w:sz w:val="20"/>
          <w:szCs w:val="20"/>
        </w:rPr>
        <w:t>xxxxxx</w:t>
      </w:r>
      <w:proofErr w:type="spellEnd"/>
      <w:r>
        <w:rPr>
          <w:rFonts w:ascii="Work Sans" w:hAnsi="Work Sans" w:cs="Times New Roman"/>
          <w:sz w:val="20"/>
          <w:szCs w:val="20"/>
        </w:rPr>
        <w:t xml:space="preserve"> de 2021 del Instituto Nacional de Vías INVIAS y del </w:t>
      </w:r>
      <w:proofErr w:type="spellStart"/>
      <w:r>
        <w:rPr>
          <w:rFonts w:ascii="Work Sans" w:hAnsi="Work Sans" w:cs="Times New Roman"/>
          <w:sz w:val="20"/>
          <w:szCs w:val="20"/>
        </w:rPr>
        <w:t>xxx</w:t>
      </w:r>
      <w:proofErr w:type="spellEnd"/>
      <w:r>
        <w:rPr>
          <w:rFonts w:ascii="Work Sans" w:hAnsi="Work Sans" w:cs="Times New Roman"/>
          <w:sz w:val="20"/>
          <w:szCs w:val="20"/>
        </w:rPr>
        <w:t xml:space="preserve"> de </w:t>
      </w:r>
      <w:proofErr w:type="spellStart"/>
      <w:r>
        <w:rPr>
          <w:rFonts w:ascii="Work Sans" w:hAnsi="Work Sans" w:cs="Times New Roman"/>
          <w:sz w:val="20"/>
          <w:szCs w:val="20"/>
        </w:rPr>
        <w:t>xxxxx</w:t>
      </w:r>
      <w:proofErr w:type="spellEnd"/>
      <w:r>
        <w:rPr>
          <w:rFonts w:ascii="Work Sans" w:hAnsi="Work Sans" w:cs="Times New Roman"/>
          <w:sz w:val="20"/>
          <w:szCs w:val="20"/>
        </w:rPr>
        <w:t xml:space="preserve"> de 2021 del Ministerio de Transporte, se hace constar que no se recibieron observaciones al pro</w:t>
      </w:r>
      <w:r>
        <w:rPr>
          <w:rFonts w:ascii="Work Sans" w:hAnsi="Work Sans" w:cs="Times New Roman"/>
          <w:sz w:val="20"/>
          <w:szCs w:val="20"/>
        </w:rPr>
        <w:t>yecto publicado.</w:t>
      </w:r>
    </w:p>
    <w:p w14:paraId="78A8A222" w14:textId="77777777" w:rsidR="0092444B" w:rsidRDefault="0092444B">
      <w:pPr>
        <w:jc w:val="both"/>
        <w:rPr>
          <w:rFonts w:ascii="Work Sans" w:hAnsi="Work Sans" w:cs="Cambria"/>
          <w:sz w:val="20"/>
          <w:szCs w:val="20"/>
        </w:rPr>
      </w:pPr>
    </w:p>
    <w:p w14:paraId="7860DBC6" w14:textId="77777777" w:rsidR="0092444B" w:rsidRDefault="00EB4521">
      <w:pPr>
        <w:jc w:val="both"/>
        <w:rPr>
          <w:rFonts w:ascii="Work Sans" w:hAnsi="Work Sans" w:cs="Cambria"/>
          <w:sz w:val="20"/>
          <w:szCs w:val="20"/>
        </w:rPr>
      </w:pPr>
      <w:r>
        <w:rPr>
          <w:rFonts w:ascii="Work Sans" w:hAnsi="Work Sans" w:cs="Cambria"/>
          <w:sz w:val="20"/>
          <w:szCs w:val="20"/>
        </w:rPr>
        <w:t>Que la Oficina Asesora de Jurídica conservará los documentos asociados a la publicación del presente acto administrativo. Todo ello en concordancia con las políticas de gestión documental y de archivo de la entidad.</w:t>
      </w:r>
    </w:p>
    <w:p w14:paraId="36DC2AA6" w14:textId="77777777" w:rsidR="0092444B" w:rsidRDefault="0092444B">
      <w:pPr>
        <w:jc w:val="both"/>
        <w:rPr>
          <w:rFonts w:ascii="Work Sans" w:hAnsi="Work Sans" w:cs="Cambria"/>
          <w:sz w:val="20"/>
          <w:szCs w:val="20"/>
        </w:rPr>
      </w:pPr>
    </w:p>
    <w:p w14:paraId="375CF58D" w14:textId="77777777" w:rsidR="0092444B" w:rsidRDefault="00EB4521">
      <w:pPr>
        <w:jc w:val="center"/>
        <w:rPr>
          <w:rFonts w:ascii="Work Sans" w:hAnsi="Work Sans" w:cs="Cambria"/>
          <w:b/>
          <w:sz w:val="20"/>
          <w:szCs w:val="20"/>
        </w:rPr>
      </w:pPr>
      <w:r>
        <w:rPr>
          <w:rFonts w:ascii="Work Sans" w:hAnsi="Work Sans" w:cs="Cambria"/>
          <w:b/>
          <w:sz w:val="20"/>
          <w:szCs w:val="20"/>
        </w:rPr>
        <w:t>RESUELVE</w:t>
      </w:r>
    </w:p>
    <w:p w14:paraId="0444F47F" w14:textId="77777777" w:rsidR="0092444B" w:rsidRDefault="0092444B">
      <w:pPr>
        <w:jc w:val="center"/>
        <w:rPr>
          <w:rFonts w:ascii="Work Sans" w:hAnsi="Work Sans" w:cs="Cambria"/>
          <w:b/>
          <w:sz w:val="20"/>
          <w:szCs w:val="20"/>
        </w:rPr>
      </w:pPr>
    </w:p>
    <w:p w14:paraId="6464708B" w14:textId="77777777" w:rsidR="0092444B" w:rsidRDefault="00EB4521">
      <w:pPr>
        <w:jc w:val="both"/>
      </w:pPr>
      <w:r>
        <w:rPr>
          <w:rFonts w:ascii="Work Sans" w:hAnsi="Work Sans"/>
          <w:sz w:val="20"/>
          <w:szCs w:val="20"/>
        </w:rPr>
        <w:t>Artículo 1.</w:t>
      </w:r>
      <w:r>
        <w:rPr>
          <w:rFonts w:ascii="Work Sans" w:hAnsi="Work Sans"/>
          <w:sz w:val="20"/>
          <w:szCs w:val="20"/>
        </w:rPr>
        <w:t>-</w:t>
      </w:r>
      <w:r>
        <w:rPr>
          <w:rFonts w:ascii="Work Sans" w:hAnsi="Work Sans" w:cs="Arial"/>
          <w:sz w:val="20"/>
          <w:szCs w:val="20"/>
          <w:lang w:val="es-CO" w:eastAsia="ja-JP"/>
        </w:rPr>
        <w:t xml:space="preserve"> Establecer las siguientes tarifas diferenciales </w:t>
      </w:r>
      <w:r>
        <w:rPr>
          <w:rFonts w:ascii="Work Sans" w:hAnsi="Work Sans" w:cs="Arial"/>
          <w:sz w:val="20"/>
          <w:szCs w:val="20"/>
          <w:lang w:eastAsia="ja-JP"/>
        </w:rPr>
        <w:t xml:space="preserve">para la estación de peaje "Cerritos II", localizada en el corredor vial Pereira – La Victoria, para las siguientes Categorías: </w:t>
      </w:r>
    </w:p>
    <w:p w14:paraId="7C3E7E7A" w14:textId="77777777" w:rsidR="0092444B" w:rsidRDefault="0092444B">
      <w:pPr>
        <w:jc w:val="both"/>
        <w:rPr>
          <w:rFonts w:ascii="Work Sans" w:hAnsi="Work Sans"/>
          <w:sz w:val="20"/>
          <w:szCs w:val="20"/>
          <w:lang w:val="es-CO"/>
        </w:rPr>
      </w:pPr>
    </w:p>
    <w:tbl>
      <w:tblPr>
        <w:tblW w:w="7250" w:type="dxa"/>
        <w:tblInd w:w="846" w:type="dxa"/>
        <w:tblCellMar>
          <w:left w:w="10" w:type="dxa"/>
          <w:right w:w="10" w:type="dxa"/>
        </w:tblCellMar>
        <w:tblLook w:val="04A0" w:firstRow="1" w:lastRow="0" w:firstColumn="1" w:lastColumn="0" w:noHBand="0" w:noVBand="1"/>
      </w:tblPr>
      <w:tblGrid>
        <w:gridCol w:w="1297"/>
        <w:gridCol w:w="3685"/>
        <w:gridCol w:w="2268"/>
      </w:tblGrid>
      <w:tr w:rsidR="0092444B" w14:paraId="4A9B8F91" w14:textId="77777777">
        <w:tblPrEx>
          <w:tblCellMar>
            <w:top w:w="0" w:type="dxa"/>
            <w:bottom w:w="0" w:type="dxa"/>
          </w:tblCellMar>
        </w:tblPrEx>
        <w:trPr>
          <w:trHeight w:val="100"/>
        </w:trPr>
        <w:tc>
          <w:tcPr>
            <w:tcW w:w="7250" w:type="dxa"/>
            <w:gridSpan w:val="3"/>
            <w:tcBorders>
              <w:top w:val="single" w:sz="4" w:space="0" w:color="000000"/>
              <w:left w:val="single" w:sz="4" w:space="0" w:color="000000"/>
              <w:bottom w:val="single" w:sz="4" w:space="0" w:color="000000"/>
              <w:right w:val="single" w:sz="4" w:space="0" w:color="000000"/>
            </w:tcBorders>
            <w:shd w:val="clear" w:color="auto" w:fill="C4BC96"/>
            <w:tcMar>
              <w:top w:w="0" w:type="dxa"/>
              <w:left w:w="70" w:type="dxa"/>
              <w:bottom w:w="0" w:type="dxa"/>
              <w:right w:w="70" w:type="dxa"/>
            </w:tcMar>
          </w:tcPr>
          <w:p w14:paraId="04870370" w14:textId="77777777" w:rsidR="0092444B" w:rsidRDefault="00EB4521">
            <w:pPr>
              <w:jc w:val="center"/>
              <w:textAlignment w:val="auto"/>
            </w:pPr>
            <w:r>
              <w:rPr>
                <w:rFonts w:ascii="Work Sans" w:hAnsi="Work Sans"/>
                <w:b/>
                <w:bCs/>
                <w:sz w:val="20"/>
                <w:szCs w:val="20"/>
              </w:rPr>
              <w:t>ESTACIÓN DE PEAJE CERRITOS II</w:t>
            </w:r>
          </w:p>
        </w:tc>
      </w:tr>
      <w:tr w:rsidR="0092444B" w14:paraId="4DA4F846" w14:textId="77777777">
        <w:tblPrEx>
          <w:tblCellMar>
            <w:top w:w="0" w:type="dxa"/>
            <w:bottom w:w="0" w:type="dxa"/>
          </w:tblCellMar>
        </w:tblPrEx>
        <w:tc>
          <w:tcPr>
            <w:tcW w:w="1297" w:type="dxa"/>
            <w:tcBorders>
              <w:top w:val="single" w:sz="4" w:space="0" w:color="000000"/>
              <w:left w:val="single" w:sz="4" w:space="0" w:color="000000"/>
              <w:bottom w:val="single" w:sz="4" w:space="0" w:color="000000"/>
              <w:right w:val="single" w:sz="4" w:space="0" w:color="000000"/>
            </w:tcBorders>
            <w:shd w:val="clear" w:color="auto" w:fill="DDD9C3"/>
            <w:tcMar>
              <w:top w:w="0" w:type="dxa"/>
              <w:left w:w="108" w:type="dxa"/>
              <w:bottom w:w="0" w:type="dxa"/>
              <w:right w:w="108" w:type="dxa"/>
            </w:tcMar>
          </w:tcPr>
          <w:p w14:paraId="4CDF8A23" w14:textId="77777777" w:rsidR="0092444B" w:rsidRDefault="00EB4521">
            <w:pPr>
              <w:jc w:val="center"/>
              <w:textAlignment w:val="auto"/>
              <w:rPr>
                <w:rFonts w:ascii="Work Sans" w:hAnsi="Work Sans"/>
                <w:b/>
                <w:bCs/>
                <w:sz w:val="20"/>
                <w:szCs w:val="20"/>
              </w:rPr>
            </w:pPr>
            <w:r>
              <w:rPr>
                <w:rFonts w:ascii="Work Sans" w:hAnsi="Work Sans"/>
                <w:b/>
                <w:bCs/>
                <w:sz w:val="20"/>
                <w:szCs w:val="20"/>
              </w:rPr>
              <w:t>Categoría</w:t>
            </w:r>
          </w:p>
        </w:tc>
        <w:tc>
          <w:tcPr>
            <w:tcW w:w="3685" w:type="dxa"/>
            <w:tcBorders>
              <w:top w:val="single" w:sz="4" w:space="0" w:color="000000"/>
              <w:left w:val="single" w:sz="4" w:space="0" w:color="000000"/>
              <w:bottom w:val="single" w:sz="4" w:space="0" w:color="000000"/>
              <w:right w:val="single" w:sz="4" w:space="0" w:color="000000"/>
            </w:tcBorders>
            <w:shd w:val="clear" w:color="auto" w:fill="DDD9C3"/>
            <w:tcMar>
              <w:top w:w="0" w:type="dxa"/>
              <w:left w:w="108" w:type="dxa"/>
              <w:bottom w:w="0" w:type="dxa"/>
              <w:right w:w="108" w:type="dxa"/>
            </w:tcMar>
          </w:tcPr>
          <w:p w14:paraId="36C34019" w14:textId="77777777" w:rsidR="0092444B" w:rsidRDefault="00EB4521">
            <w:pPr>
              <w:jc w:val="center"/>
              <w:textAlignment w:val="auto"/>
              <w:rPr>
                <w:rFonts w:ascii="Work Sans" w:hAnsi="Work Sans"/>
                <w:b/>
                <w:bCs/>
                <w:sz w:val="20"/>
                <w:szCs w:val="20"/>
              </w:rPr>
            </w:pPr>
            <w:r>
              <w:rPr>
                <w:rFonts w:ascii="Work Sans" w:hAnsi="Work Sans"/>
                <w:b/>
                <w:bCs/>
                <w:sz w:val="20"/>
                <w:szCs w:val="20"/>
              </w:rPr>
              <w:t>Descripción</w:t>
            </w:r>
          </w:p>
        </w:tc>
        <w:tc>
          <w:tcPr>
            <w:tcW w:w="2268" w:type="dxa"/>
            <w:tcBorders>
              <w:top w:val="single" w:sz="4" w:space="0" w:color="000000"/>
              <w:left w:val="single" w:sz="4" w:space="0" w:color="000000"/>
              <w:bottom w:val="single" w:sz="4" w:space="0" w:color="000000"/>
              <w:right w:val="single" w:sz="4" w:space="0" w:color="000000"/>
            </w:tcBorders>
            <w:shd w:val="clear" w:color="auto" w:fill="DDD9C3"/>
            <w:tcMar>
              <w:top w:w="0" w:type="dxa"/>
              <w:left w:w="108" w:type="dxa"/>
              <w:bottom w:w="0" w:type="dxa"/>
              <w:right w:w="108" w:type="dxa"/>
            </w:tcMar>
          </w:tcPr>
          <w:p w14:paraId="7B7EE1AF" w14:textId="77777777" w:rsidR="0092444B" w:rsidRDefault="00EB4521">
            <w:pPr>
              <w:jc w:val="center"/>
              <w:textAlignment w:val="auto"/>
              <w:rPr>
                <w:rFonts w:ascii="Work Sans" w:hAnsi="Work Sans"/>
                <w:b/>
                <w:bCs/>
                <w:sz w:val="20"/>
                <w:szCs w:val="20"/>
              </w:rPr>
            </w:pPr>
            <w:r>
              <w:rPr>
                <w:rFonts w:ascii="Work Sans" w:hAnsi="Work Sans"/>
                <w:b/>
                <w:bCs/>
                <w:sz w:val="20"/>
                <w:szCs w:val="20"/>
              </w:rPr>
              <w:t xml:space="preserve">Tarifa </w:t>
            </w:r>
            <w:r>
              <w:rPr>
                <w:rFonts w:ascii="Work Sans" w:hAnsi="Work Sans"/>
                <w:b/>
                <w:bCs/>
                <w:sz w:val="20"/>
                <w:szCs w:val="20"/>
              </w:rPr>
              <w:t>Diferencial (Incluido FOSEVI)</w:t>
            </w:r>
          </w:p>
        </w:tc>
      </w:tr>
      <w:tr w:rsidR="0092444B" w14:paraId="4F88FBBF" w14:textId="77777777">
        <w:tblPrEx>
          <w:tblCellMar>
            <w:top w:w="0" w:type="dxa"/>
            <w:bottom w:w="0" w:type="dxa"/>
          </w:tblCellMar>
        </w:tblPrEx>
        <w:tc>
          <w:tcPr>
            <w:tcW w:w="12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D57F74" w14:textId="77777777" w:rsidR="0092444B" w:rsidRDefault="00EB4521">
            <w:pPr>
              <w:jc w:val="both"/>
              <w:textAlignment w:val="auto"/>
              <w:rPr>
                <w:rFonts w:ascii="Work Sans" w:hAnsi="Work Sans"/>
                <w:sz w:val="20"/>
                <w:szCs w:val="20"/>
              </w:rPr>
            </w:pPr>
            <w:r>
              <w:rPr>
                <w:rFonts w:ascii="Work Sans" w:hAnsi="Work Sans"/>
                <w:sz w:val="20"/>
                <w:szCs w:val="20"/>
              </w:rPr>
              <w:t>Categoría IE</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875FCE" w14:textId="77777777" w:rsidR="0092444B" w:rsidRDefault="00EB4521">
            <w:pPr>
              <w:textAlignment w:val="auto"/>
              <w:rPr>
                <w:rFonts w:ascii="Work Sans" w:hAnsi="Work Sans"/>
                <w:sz w:val="20"/>
                <w:szCs w:val="20"/>
                <w:lang w:val="es-CO"/>
              </w:rPr>
            </w:pPr>
            <w:r>
              <w:rPr>
                <w:rFonts w:ascii="Work Sans" w:hAnsi="Work Sans"/>
                <w:sz w:val="20"/>
                <w:szCs w:val="20"/>
                <w:lang w:val="es-CO"/>
              </w:rPr>
              <w:t>Automóviles, camperos y camionetas de servicio particular.</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73336F" w14:textId="77777777" w:rsidR="0092444B" w:rsidRDefault="00EB4521">
            <w:pPr>
              <w:jc w:val="center"/>
              <w:textAlignment w:val="auto"/>
              <w:rPr>
                <w:rFonts w:ascii="Work Sans" w:hAnsi="Work Sans"/>
                <w:sz w:val="20"/>
                <w:szCs w:val="20"/>
              </w:rPr>
            </w:pPr>
            <w:r>
              <w:rPr>
                <w:rFonts w:ascii="Work Sans" w:hAnsi="Work Sans"/>
                <w:sz w:val="20"/>
                <w:szCs w:val="20"/>
              </w:rPr>
              <w:t>$2.700</w:t>
            </w:r>
          </w:p>
        </w:tc>
      </w:tr>
      <w:tr w:rsidR="0092444B" w14:paraId="09828089" w14:textId="77777777">
        <w:tblPrEx>
          <w:tblCellMar>
            <w:top w:w="0" w:type="dxa"/>
            <w:bottom w:w="0" w:type="dxa"/>
          </w:tblCellMar>
        </w:tblPrEx>
        <w:tc>
          <w:tcPr>
            <w:tcW w:w="12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2EA0BB" w14:textId="77777777" w:rsidR="0092444B" w:rsidRDefault="00EB4521">
            <w:pPr>
              <w:jc w:val="both"/>
              <w:textAlignment w:val="auto"/>
              <w:rPr>
                <w:rFonts w:ascii="Work Sans" w:hAnsi="Work Sans"/>
                <w:sz w:val="20"/>
                <w:szCs w:val="20"/>
              </w:rPr>
            </w:pPr>
            <w:r>
              <w:rPr>
                <w:rFonts w:ascii="Work Sans" w:hAnsi="Work Sans"/>
                <w:sz w:val="20"/>
                <w:szCs w:val="20"/>
              </w:rPr>
              <w:t>Categoría IIE</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D917AC" w14:textId="77777777" w:rsidR="0092444B" w:rsidRDefault="00EB4521">
            <w:pPr>
              <w:jc w:val="both"/>
              <w:textAlignment w:val="auto"/>
              <w:rPr>
                <w:rFonts w:ascii="Work Sans" w:hAnsi="Work Sans"/>
                <w:sz w:val="20"/>
                <w:szCs w:val="20"/>
                <w:lang w:val="es-CO"/>
              </w:rPr>
            </w:pPr>
            <w:r>
              <w:rPr>
                <w:rFonts w:ascii="Work Sans" w:hAnsi="Work Sans"/>
                <w:sz w:val="20"/>
                <w:szCs w:val="20"/>
                <w:lang w:val="es-CO"/>
              </w:rPr>
              <w:t xml:space="preserve">Vehículos de servicio público de transporte intermunicipal y/o masivo, pertenecientes a empresas de transporte público </w:t>
            </w:r>
            <w:r>
              <w:rPr>
                <w:rFonts w:ascii="Work Sans" w:hAnsi="Work Sans"/>
                <w:sz w:val="20"/>
                <w:szCs w:val="20"/>
                <w:lang w:val="es-CO"/>
              </w:rPr>
              <w:t>vinculadas a los Sistemas Integrados de Transporte Masivo del Área Metropolitana de Centro Occidente.</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6E1759" w14:textId="77777777" w:rsidR="0092444B" w:rsidRDefault="00EB4521">
            <w:pPr>
              <w:jc w:val="center"/>
              <w:textAlignment w:val="auto"/>
              <w:rPr>
                <w:rFonts w:ascii="Work Sans" w:hAnsi="Work Sans"/>
                <w:bCs/>
                <w:sz w:val="20"/>
                <w:szCs w:val="20"/>
              </w:rPr>
            </w:pPr>
            <w:r>
              <w:rPr>
                <w:rFonts w:ascii="Work Sans" w:hAnsi="Work Sans"/>
                <w:bCs/>
                <w:sz w:val="20"/>
                <w:szCs w:val="20"/>
              </w:rPr>
              <w:t>$9.400</w:t>
            </w:r>
          </w:p>
        </w:tc>
      </w:tr>
    </w:tbl>
    <w:p w14:paraId="6E89BB05" w14:textId="77777777" w:rsidR="0092444B" w:rsidRDefault="0092444B">
      <w:pPr>
        <w:jc w:val="both"/>
        <w:rPr>
          <w:rFonts w:ascii="Work Sans" w:hAnsi="Work Sans"/>
          <w:sz w:val="20"/>
          <w:szCs w:val="20"/>
        </w:rPr>
      </w:pPr>
    </w:p>
    <w:p w14:paraId="34D891F3" w14:textId="77777777" w:rsidR="0092444B" w:rsidRDefault="00EB4521">
      <w:pPr>
        <w:jc w:val="both"/>
      </w:pPr>
      <w:r>
        <w:rPr>
          <w:rFonts w:ascii="Work Sans" w:hAnsi="Work Sans"/>
          <w:b/>
          <w:bCs/>
          <w:sz w:val="20"/>
          <w:szCs w:val="20"/>
        </w:rPr>
        <w:t>Parágrafo 1.-</w:t>
      </w:r>
      <w:r>
        <w:rPr>
          <w:rFonts w:ascii="Work Sans" w:hAnsi="Work Sans"/>
          <w:sz w:val="20"/>
          <w:szCs w:val="20"/>
        </w:rPr>
        <w:t xml:space="preserve"> El área de influencia para acceder a la Tarifa diferencial para la categoría IE es la comprendida entre la estación de peaje "Cerri</w:t>
      </w:r>
      <w:r>
        <w:rPr>
          <w:rFonts w:ascii="Work Sans" w:hAnsi="Work Sans"/>
          <w:sz w:val="20"/>
          <w:szCs w:val="20"/>
        </w:rPr>
        <w:t>tos II" y el río "La Vieja.</w:t>
      </w:r>
    </w:p>
    <w:p w14:paraId="7363D6BD" w14:textId="77777777" w:rsidR="0092444B" w:rsidRDefault="00EB4521">
      <w:pPr>
        <w:jc w:val="both"/>
        <w:rPr>
          <w:rFonts w:ascii="Work Sans" w:hAnsi="Work Sans"/>
          <w:sz w:val="20"/>
          <w:szCs w:val="20"/>
        </w:rPr>
      </w:pPr>
      <w:r>
        <w:rPr>
          <w:rFonts w:ascii="Work Sans" w:hAnsi="Work Sans"/>
          <w:sz w:val="20"/>
          <w:szCs w:val="20"/>
        </w:rPr>
        <w:t xml:space="preserve"> </w:t>
      </w:r>
    </w:p>
    <w:p w14:paraId="58320B18" w14:textId="77777777" w:rsidR="0092444B" w:rsidRDefault="00EB4521">
      <w:pPr>
        <w:jc w:val="both"/>
      </w:pPr>
      <w:r>
        <w:rPr>
          <w:rFonts w:ascii="Work Sans" w:hAnsi="Work Sans"/>
          <w:b/>
          <w:bCs/>
          <w:sz w:val="20"/>
          <w:szCs w:val="20"/>
        </w:rPr>
        <w:t>Parágrafo 2.-</w:t>
      </w:r>
      <w:r>
        <w:rPr>
          <w:rFonts w:ascii="Work Sans" w:hAnsi="Work Sans"/>
          <w:sz w:val="20"/>
          <w:szCs w:val="20"/>
        </w:rPr>
        <w:t xml:space="preserve"> La tarifa diferencial para la categoría IE se otorgará a las personas propietarias o locatarias de vehículos particulares, domiciliados en el área de influencia determinada en este acto administrativo, de acuerdo</w:t>
      </w:r>
      <w:r>
        <w:rPr>
          <w:rFonts w:ascii="Work Sans" w:hAnsi="Work Sans"/>
          <w:sz w:val="20"/>
          <w:szCs w:val="20"/>
        </w:rPr>
        <w:t xml:space="preserve"> con los requisitos que se establezcan para el efecto.</w:t>
      </w:r>
    </w:p>
    <w:p w14:paraId="12E06A11" w14:textId="77777777" w:rsidR="0092444B" w:rsidRDefault="0092444B">
      <w:pPr>
        <w:jc w:val="both"/>
        <w:rPr>
          <w:rFonts w:ascii="Work Sans" w:hAnsi="Work Sans"/>
          <w:sz w:val="20"/>
          <w:szCs w:val="20"/>
        </w:rPr>
      </w:pPr>
    </w:p>
    <w:p w14:paraId="4651D98E" w14:textId="77777777" w:rsidR="0092444B" w:rsidRDefault="00EB4521">
      <w:pPr>
        <w:jc w:val="both"/>
      </w:pPr>
      <w:r>
        <w:rPr>
          <w:rFonts w:ascii="Work Sans" w:hAnsi="Work Sans"/>
          <w:b/>
          <w:sz w:val="20"/>
          <w:szCs w:val="20"/>
        </w:rPr>
        <w:t>Parágrafo 3.-</w:t>
      </w:r>
      <w:r>
        <w:rPr>
          <w:rFonts w:ascii="Work Sans" w:hAnsi="Work Sans"/>
          <w:sz w:val="20"/>
          <w:szCs w:val="20"/>
        </w:rPr>
        <w:t xml:space="preserve"> </w:t>
      </w:r>
      <w:r>
        <w:rPr>
          <w:rFonts w:ascii="Work Sans" w:hAnsi="Work Sans"/>
          <w:sz w:val="20"/>
          <w:szCs w:val="20"/>
          <w:lang w:val="es-CO"/>
        </w:rPr>
        <w:t xml:space="preserve">La tarifa diferencial en la Categoría </w:t>
      </w:r>
      <w:r>
        <w:rPr>
          <w:rFonts w:ascii="Work Sans" w:hAnsi="Work Sans"/>
          <w:sz w:val="20"/>
          <w:szCs w:val="20"/>
        </w:rPr>
        <w:t>IIE</w:t>
      </w:r>
      <w:r>
        <w:rPr>
          <w:rFonts w:ascii="Work Sans" w:hAnsi="Work Sans"/>
          <w:sz w:val="20"/>
          <w:szCs w:val="20"/>
          <w:lang w:val="es-CO"/>
        </w:rPr>
        <w:t xml:space="preserve"> será otorgada para el Ente Gestor del Sistema Integrado de Transporte Masivo del Área Metropolitana de Centro Occidente MEGABUS S.A, que tiene v</w:t>
      </w:r>
      <w:r>
        <w:rPr>
          <w:rFonts w:ascii="Work Sans" w:hAnsi="Work Sans"/>
          <w:sz w:val="20"/>
          <w:szCs w:val="20"/>
          <w:lang w:val="es-CO"/>
        </w:rPr>
        <w:t>inculados rutas alimentadoras para el sector de Puerto Caldas, según convenio interempresarial con empresas de transporte público.</w:t>
      </w:r>
    </w:p>
    <w:p w14:paraId="4D13EC16" w14:textId="77777777" w:rsidR="0092444B" w:rsidRDefault="0092444B">
      <w:pPr>
        <w:jc w:val="both"/>
        <w:rPr>
          <w:rFonts w:ascii="Work Sans" w:hAnsi="Work Sans"/>
          <w:sz w:val="20"/>
          <w:szCs w:val="20"/>
        </w:rPr>
      </w:pPr>
    </w:p>
    <w:p w14:paraId="1054D71F" w14:textId="77777777" w:rsidR="0092444B" w:rsidRDefault="00EB4521">
      <w:pPr>
        <w:jc w:val="both"/>
      </w:pPr>
      <w:r>
        <w:rPr>
          <w:rFonts w:ascii="Work Sans" w:hAnsi="Work Sans"/>
          <w:b/>
          <w:sz w:val="20"/>
          <w:szCs w:val="20"/>
        </w:rPr>
        <w:t>Parágrafo 4.-</w:t>
      </w:r>
      <w:r>
        <w:rPr>
          <w:rFonts w:ascii="Work Sans" w:hAnsi="Work Sans"/>
          <w:sz w:val="20"/>
          <w:szCs w:val="20"/>
        </w:rPr>
        <w:t xml:space="preserve"> Los vehículos beneficiarios de la tarifa diferencial en la Categoría IIE</w:t>
      </w:r>
      <w:r>
        <w:rPr>
          <w:rFonts w:ascii="Work Sans" w:hAnsi="Work Sans"/>
          <w:b/>
          <w:sz w:val="20"/>
          <w:szCs w:val="20"/>
        </w:rPr>
        <w:t xml:space="preserve"> </w:t>
      </w:r>
      <w:r>
        <w:rPr>
          <w:rFonts w:ascii="Work Sans" w:hAnsi="Work Sans"/>
          <w:sz w:val="20"/>
          <w:szCs w:val="20"/>
        </w:rPr>
        <w:t xml:space="preserve">señalados en el presente </w:t>
      </w:r>
      <w:r>
        <w:rPr>
          <w:rFonts w:ascii="Work Sans" w:hAnsi="Work Sans"/>
          <w:sz w:val="20"/>
          <w:szCs w:val="20"/>
        </w:rPr>
        <w:t>artículo, podrán transitar por la estación de peaje</w:t>
      </w:r>
      <w:r>
        <w:rPr>
          <w:rFonts w:ascii="Work Sans" w:hAnsi="Work Sans"/>
          <w:b/>
          <w:sz w:val="20"/>
          <w:szCs w:val="20"/>
        </w:rPr>
        <w:t xml:space="preserve"> “</w:t>
      </w:r>
      <w:r>
        <w:rPr>
          <w:rFonts w:ascii="Work Sans" w:hAnsi="Work Sans"/>
          <w:sz w:val="20"/>
          <w:szCs w:val="20"/>
        </w:rPr>
        <w:t>Cerritos II</w:t>
      </w:r>
      <w:r>
        <w:rPr>
          <w:rFonts w:ascii="Work Sans" w:hAnsi="Work Sans"/>
          <w:b/>
          <w:sz w:val="20"/>
          <w:szCs w:val="20"/>
        </w:rPr>
        <w:t>”</w:t>
      </w:r>
      <w:r>
        <w:rPr>
          <w:rFonts w:ascii="Work Sans" w:hAnsi="Work Sans"/>
          <w:sz w:val="20"/>
          <w:szCs w:val="20"/>
        </w:rPr>
        <w:t xml:space="preserve"> hasta un número máximo que no supere ciento veinte (120) pasos por día calendario de veinticuatro horas, contados a partir de las 00:00 horas de cada día. Los vehículos que superen </w:t>
      </w:r>
      <w:r>
        <w:rPr>
          <w:rFonts w:ascii="Work Sans" w:hAnsi="Work Sans"/>
          <w:sz w:val="20"/>
          <w:szCs w:val="20"/>
        </w:rPr>
        <w:t xml:space="preserve">dicho número pagarán la tarifa plena. </w:t>
      </w:r>
    </w:p>
    <w:p w14:paraId="21CD6C8C" w14:textId="77777777" w:rsidR="0092444B" w:rsidRDefault="0092444B">
      <w:pPr>
        <w:pStyle w:val="Textoindependiente"/>
        <w:ind w:right="-93"/>
        <w:rPr>
          <w:rFonts w:ascii="Work Sans" w:hAnsi="Work Sans"/>
          <w:b/>
          <w:sz w:val="20"/>
          <w:szCs w:val="20"/>
        </w:rPr>
      </w:pPr>
    </w:p>
    <w:p w14:paraId="60C9F7BF" w14:textId="77777777" w:rsidR="0092444B" w:rsidRDefault="00EB4521">
      <w:pPr>
        <w:pStyle w:val="Default"/>
        <w:jc w:val="both"/>
      </w:pPr>
      <w:r>
        <w:rPr>
          <w:rFonts w:ascii="Work Sans" w:hAnsi="Work Sans"/>
          <w:b/>
          <w:bCs/>
          <w:color w:val="auto"/>
          <w:sz w:val="20"/>
          <w:szCs w:val="20"/>
        </w:rPr>
        <w:t>Artículo 2.-</w:t>
      </w:r>
      <w:r>
        <w:rPr>
          <w:rFonts w:ascii="Work Sans" w:hAnsi="Work Sans"/>
          <w:color w:val="auto"/>
          <w:sz w:val="20"/>
          <w:szCs w:val="20"/>
        </w:rPr>
        <w:t xml:space="preserve"> Salvo lo indicado en el parágrafo cuarto del artículo primero de la presente resolución, en cuanto al número de pasos se refiere, el Instituto </w:t>
      </w:r>
      <w:r>
        <w:rPr>
          <w:rFonts w:ascii="Work Sans" w:hAnsi="Work Sans"/>
          <w:sz w:val="20"/>
          <w:szCs w:val="20"/>
        </w:rPr>
        <w:t xml:space="preserve">Nacional de Vías fijará las frecuencias mínimas de pasos al </w:t>
      </w:r>
      <w:r>
        <w:rPr>
          <w:rFonts w:ascii="Work Sans" w:hAnsi="Work Sans"/>
          <w:sz w:val="20"/>
          <w:szCs w:val="20"/>
        </w:rPr>
        <w:t>mes para mantener el beneficio, los requisitos para acreditar la calidad de beneficiario, el procedimiento para acceder al beneficio, los mecanismos de otorgamiento, reemplazo y control y las causales de pérdida del beneficio de las tarifas diferenciales e</w:t>
      </w:r>
      <w:r>
        <w:rPr>
          <w:rFonts w:ascii="Work Sans" w:hAnsi="Work Sans"/>
          <w:sz w:val="20"/>
          <w:szCs w:val="20"/>
        </w:rPr>
        <w:t>n la estación de peaje “Cerritos II”.</w:t>
      </w:r>
    </w:p>
    <w:p w14:paraId="3F323FC4" w14:textId="77777777" w:rsidR="0092444B" w:rsidRDefault="0092444B">
      <w:pPr>
        <w:pStyle w:val="Default"/>
        <w:jc w:val="both"/>
        <w:rPr>
          <w:rFonts w:ascii="Work Sans" w:hAnsi="Work Sans"/>
          <w:iCs/>
          <w:sz w:val="20"/>
          <w:szCs w:val="20"/>
        </w:rPr>
      </w:pPr>
    </w:p>
    <w:p w14:paraId="05C512D4" w14:textId="77777777" w:rsidR="0092444B" w:rsidRDefault="00EB4521">
      <w:pPr>
        <w:pStyle w:val="Textoindependiente"/>
        <w:spacing w:before="1"/>
        <w:ind w:right="49"/>
        <w:jc w:val="both"/>
      </w:pPr>
      <w:r>
        <w:rPr>
          <w:rFonts w:ascii="Work Sans" w:hAnsi="Work Sans" w:cs="Arial"/>
          <w:b/>
          <w:bCs/>
          <w:sz w:val="20"/>
          <w:szCs w:val="20"/>
          <w:lang w:val="es-CO" w:eastAsia="es-CO"/>
        </w:rPr>
        <w:t>Artículo 3.-</w:t>
      </w:r>
      <w:r>
        <w:rPr>
          <w:rFonts w:ascii="Work Sans" w:hAnsi="Work Sans" w:cs="Arial"/>
          <w:sz w:val="20"/>
          <w:szCs w:val="20"/>
          <w:lang w:val="es-CO" w:eastAsia="es-CO"/>
        </w:rPr>
        <w:t xml:space="preserve"> Las tarifas Especiales de que trata el presente acto administrativo, incluyen el valor correspondiente al Programa de Seguridad en Carreteras – FOSEVI.</w:t>
      </w:r>
    </w:p>
    <w:p w14:paraId="74701392" w14:textId="77777777" w:rsidR="0092444B" w:rsidRDefault="0092444B">
      <w:pPr>
        <w:pStyle w:val="Default"/>
        <w:ind w:right="49"/>
        <w:jc w:val="both"/>
        <w:rPr>
          <w:rFonts w:ascii="Work Sans" w:hAnsi="Work Sans"/>
          <w:color w:val="auto"/>
          <w:sz w:val="20"/>
          <w:szCs w:val="20"/>
        </w:rPr>
      </w:pPr>
    </w:p>
    <w:p w14:paraId="0AABCFF6" w14:textId="77777777" w:rsidR="0092444B" w:rsidRDefault="00EB4521">
      <w:pPr>
        <w:pStyle w:val="Default"/>
        <w:ind w:right="49"/>
        <w:jc w:val="both"/>
      </w:pPr>
      <w:r>
        <w:rPr>
          <w:rFonts w:ascii="Work Sans" w:hAnsi="Work Sans"/>
          <w:b/>
          <w:bCs/>
          <w:color w:val="auto"/>
          <w:sz w:val="20"/>
          <w:szCs w:val="20"/>
        </w:rPr>
        <w:t>Artículo 4.-</w:t>
      </w:r>
      <w:r>
        <w:rPr>
          <w:rFonts w:ascii="Work Sans" w:hAnsi="Work Sans"/>
          <w:color w:val="auto"/>
          <w:sz w:val="20"/>
          <w:szCs w:val="20"/>
        </w:rPr>
        <w:t xml:space="preserve"> Las Tarifas Especiales que se establec</w:t>
      </w:r>
      <w:r>
        <w:rPr>
          <w:rFonts w:ascii="Work Sans" w:hAnsi="Work Sans"/>
          <w:color w:val="auto"/>
          <w:sz w:val="20"/>
          <w:szCs w:val="20"/>
        </w:rPr>
        <w:t xml:space="preserve">en mediante la presente Resolución serán aplicables desde la fecha de expedición hasta el 15 de enero de 2022 y se indexarán de conformidad con lo establecido en el esquema tarifario aplicable a la </w:t>
      </w:r>
      <w:r>
        <w:rPr>
          <w:rFonts w:ascii="Work Sans" w:hAnsi="Work Sans"/>
          <w:color w:val="auto"/>
          <w:sz w:val="20"/>
          <w:szCs w:val="20"/>
        </w:rPr>
        <w:lastRenderedPageBreak/>
        <w:t>estación de peaje "Cerritos II”, atendiendo lo dispuesto e</w:t>
      </w:r>
      <w:r>
        <w:rPr>
          <w:rFonts w:ascii="Work Sans" w:hAnsi="Work Sans"/>
          <w:color w:val="auto"/>
          <w:sz w:val="20"/>
          <w:szCs w:val="20"/>
        </w:rPr>
        <w:t xml:space="preserve">n el artículo 20 de la Resolución 0000228 de 2013, donde se establece que </w:t>
      </w:r>
      <w:r>
        <w:rPr>
          <w:rFonts w:ascii="Work Sans" w:hAnsi="Work Sans"/>
          <w:i/>
          <w:iCs/>
          <w:color w:val="auto"/>
          <w:sz w:val="20"/>
          <w:szCs w:val="20"/>
        </w:rPr>
        <w:t>“(…) las tarifas de peaje deberán ser incrementadas a partir del 16 de enero de cada año, teniendo en cuenta el IPC decretado por el DANE para el año inmediatamente anterior.”</w:t>
      </w:r>
    </w:p>
    <w:p w14:paraId="7C55D705" w14:textId="77777777" w:rsidR="0092444B" w:rsidRDefault="0092444B">
      <w:pPr>
        <w:pStyle w:val="Default"/>
        <w:ind w:right="49"/>
        <w:jc w:val="both"/>
        <w:rPr>
          <w:rFonts w:ascii="Work Sans" w:hAnsi="Work Sans"/>
          <w:color w:val="auto"/>
          <w:sz w:val="20"/>
          <w:szCs w:val="20"/>
        </w:rPr>
      </w:pPr>
    </w:p>
    <w:p w14:paraId="0426E60A" w14:textId="77777777" w:rsidR="0092444B" w:rsidRDefault="00EB4521">
      <w:pPr>
        <w:pStyle w:val="Textoindependiente"/>
        <w:spacing w:before="1"/>
        <w:ind w:right="49" w:firstLine="12"/>
        <w:jc w:val="both"/>
      </w:pPr>
      <w:r>
        <w:rPr>
          <w:rFonts w:ascii="Work Sans" w:hAnsi="Work Sans" w:cs="Arial"/>
          <w:b/>
          <w:bCs/>
          <w:sz w:val="20"/>
          <w:szCs w:val="20"/>
          <w:lang w:val="es-CO" w:eastAsia="es-CO"/>
        </w:rPr>
        <w:t>Artíc</w:t>
      </w:r>
      <w:r>
        <w:rPr>
          <w:rFonts w:ascii="Work Sans" w:hAnsi="Work Sans" w:cs="Arial"/>
          <w:b/>
          <w:bCs/>
          <w:sz w:val="20"/>
          <w:szCs w:val="20"/>
          <w:lang w:val="es-CO" w:eastAsia="es-CO"/>
        </w:rPr>
        <w:t>ulo 5.-</w:t>
      </w:r>
      <w:r>
        <w:rPr>
          <w:rFonts w:ascii="Work Sans" w:hAnsi="Work Sans" w:cs="Arial"/>
          <w:sz w:val="20"/>
          <w:szCs w:val="20"/>
          <w:lang w:val="es-CO" w:eastAsia="es-CO"/>
        </w:rPr>
        <w:t xml:space="preserve"> La presente resolución rige a partir de la fecha de su publicación y deroga las disposiciones que le sean contrarias.</w:t>
      </w:r>
    </w:p>
    <w:p w14:paraId="6353ADA0" w14:textId="77777777" w:rsidR="0092444B" w:rsidRDefault="0092444B">
      <w:pPr>
        <w:jc w:val="both"/>
        <w:rPr>
          <w:rFonts w:ascii="Work Sans" w:hAnsi="Work Sans" w:cs="Cambria"/>
          <w:color w:val="000000"/>
          <w:sz w:val="20"/>
          <w:szCs w:val="20"/>
        </w:rPr>
      </w:pPr>
    </w:p>
    <w:p w14:paraId="1C38C279" w14:textId="77777777" w:rsidR="0092444B" w:rsidRDefault="0092444B">
      <w:pPr>
        <w:jc w:val="both"/>
        <w:rPr>
          <w:rFonts w:ascii="Work Sans" w:hAnsi="Work Sans" w:cs="Cambria"/>
          <w:sz w:val="20"/>
          <w:szCs w:val="20"/>
        </w:rPr>
      </w:pPr>
    </w:p>
    <w:p w14:paraId="48894C49" w14:textId="77777777" w:rsidR="0092444B" w:rsidRDefault="00EB4521">
      <w:pPr>
        <w:pStyle w:val="Default"/>
        <w:jc w:val="center"/>
        <w:rPr>
          <w:rFonts w:ascii="Work Sans" w:hAnsi="Work Sans" w:cs="Cambria"/>
          <w:b/>
          <w:color w:val="auto"/>
          <w:sz w:val="20"/>
          <w:szCs w:val="20"/>
        </w:rPr>
      </w:pPr>
      <w:r>
        <w:rPr>
          <w:rFonts w:ascii="Work Sans" w:hAnsi="Work Sans" w:cs="Cambria"/>
          <w:b/>
          <w:color w:val="auto"/>
          <w:sz w:val="20"/>
          <w:szCs w:val="20"/>
        </w:rPr>
        <w:t>PUBLÍQUESE Y CÚMPLASE,</w:t>
      </w:r>
    </w:p>
    <w:p w14:paraId="56406C6D" w14:textId="77777777" w:rsidR="0092444B" w:rsidRDefault="0092444B">
      <w:pPr>
        <w:pStyle w:val="Default"/>
        <w:jc w:val="center"/>
        <w:rPr>
          <w:rFonts w:ascii="Work Sans" w:hAnsi="Work Sans" w:cs="Cambria"/>
          <w:b/>
          <w:color w:val="auto"/>
          <w:sz w:val="20"/>
          <w:szCs w:val="20"/>
        </w:rPr>
      </w:pPr>
    </w:p>
    <w:p w14:paraId="008C7E9F" w14:textId="77777777" w:rsidR="0092444B" w:rsidRDefault="0092444B">
      <w:pPr>
        <w:pStyle w:val="Default"/>
        <w:rPr>
          <w:rFonts w:ascii="Work Sans" w:hAnsi="Work Sans" w:cs="Cambria"/>
          <w:b/>
          <w:color w:val="auto"/>
          <w:sz w:val="20"/>
          <w:szCs w:val="20"/>
        </w:rPr>
      </w:pPr>
    </w:p>
    <w:p w14:paraId="28E25841" w14:textId="77777777" w:rsidR="0092444B" w:rsidRDefault="00EB4521">
      <w:pPr>
        <w:widowControl/>
        <w:autoSpaceDE w:val="0"/>
        <w:ind w:left="-142" w:right="-86"/>
        <w:jc w:val="center"/>
        <w:rPr>
          <w:rFonts w:ascii="Work Sans" w:hAnsi="Work Sans" w:cs="Arial"/>
          <w:sz w:val="20"/>
          <w:szCs w:val="20"/>
          <w:lang w:val="es-CO" w:bidi="ar-SA"/>
        </w:rPr>
      </w:pPr>
      <w:r>
        <w:rPr>
          <w:rFonts w:ascii="Work Sans" w:hAnsi="Work Sans" w:cs="Arial"/>
          <w:sz w:val="20"/>
          <w:szCs w:val="20"/>
          <w:lang w:val="es-CO" w:bidi="ar-SA"/>
        </w:rPr>
        <w:t>${firma}</w:t>
      </w:r>
    </w:p>
    <w:p w14:paraId="0E607BD3" w14:textId="77777777" w:rsidR="0092444B" w:rsidRDefault="0092444B">
      <w:pPr>
        <w:jc w:val="center"/>
        <w:rPr>
          <w:rFonts w:ascii="Work Sans" w:hAnsi="Work Sans" w:cs="Cambria"/>
          <w:sz w:val="20"/>
          <w:szCs w:val="20"/>
        </w:rPr>
      </w:pPr>
    </w:p>
    <w:p w14:paraId="267B1433" w14:textId="77777777" w:rsidR="0092444B" w:rsidRDefault="0092444B">
      <w:pPr>
        <w:jc w:val="both"/>
        <w:rPr>
          <w:rFonts w:ascii="Work Sans" w:hAnsi="Work Sans" w:cs="Cambria"/>
          <w:sz w:val="20"/>
          <w:szCs w:val="20"/>
        </w:rPr>
      </w:pPr>
    </w:p>
    <w:p w14:paraId="5AC2AFBF" w14:textId="77777777" w:rsidR="0092444B" w:rsidRDefault="0092444B">
      <w:pPr>
        <w:jc w:val="both"/>
        <w:rPr>
          <w:rFonts w:ascii="Work Sans" w:hAnsi="Work Sans" w:cs="Cambria"/>
          <w:sz w:val="20"/>
          <w:szCs w:val="20"/>
        </w:rPr>
      </w:pPr>
    </w:p>
    <w:p w14:paraId="79DD11F4" w14:textId="77777777" w:rsidR="0092444B" w:rsidRDefault="00EB4521">
      <w:pPr>
        <w:jc w:val="center"/>
        <w:rPr>
          <w:rFonts w:ascii="Work Sans" w:hAnsi="Work Sans" w:cs="Cambria"/>
          <w:b/>
          <w:sz w:val="20"/>
          <w:szCs w:val="20"/>
        </w:rPr>
      </w:pPr>
      <w:r>
        <w:rPr>
          <w:rFonts w:ascii="Work Sans" w:hAnsi="Work Sans" w:cs="Cambria"/>
          <w:b/>
          <w:sz w:val="20"/>
          <w:szCs w:val="20"/>
        </w:rPr>
        <w:t>ÁNGELA MARÍA ORÓZCO GÓMEZ</w:t>
      </w:r>
    </w:p>
    <w:p w14:paraId="3106C4D0" w14:textId="77777777" w:rsidR="0092444B" w:rsidRDefault="0092444B">
      <w:pPr>
        <w:pStyle w:val="Standard"/>
        <w:autoSpaceDE w:val="0"/>
        <w:jc w:val="both"/>
        <w:rPr>
          <w:rFonts w:ascii="Work Sans" w:hAnsi="Work Sans"/>
          <w:sz w:val="16"/>
          <w:szCs w:val="16"/>
        </w:rPr>
      </w:pPr>
    </w:p>
    <w:p w14:paraId="6BB92D1C" w14:textId="77777777" w:rsidR="0092444B" w:rsidRDefault="0092444B">
      <w:pPr>
        <w:pStyle w:val="Standard"/>
        <w:autoSpaceDE w:val="0"/>
        <w:jc w:val="both"/>
        <w:rPr>
          <w:rFonts w:ascii="Work Sans" w:hAnsi="Work Sans"/>
          <w:sz w:val="16"/>
          <w:szCs w:val="16"/>
        </w:rPr>
      </w:pPr>
    </w:p>
    <w:p w14:paraId="3A048B4D" w14:textId="77777777" w:rsidR="0092444B" w:rsidRDefault="0092444B">
      <w:pPr>
        <w:pStyle w:val="Standard"/>
        <w:autoSpaceDE w:val="0"/>
        <w:jc w:val="both"/>
        <w:rPr>
          <w:rFonts w:ascii="Work Sans" w:hAnsi="Work Sans"/>
          <w:sz w:val="16"/>
          <w:szCs w:val="16"/>
        </w:rPr>
      </w:pPr>
    </w:p>
    <w:p w14:paraId="5B60D3D3" w14:textId="77777777" w:rsidR="0092444B" w:rsidRDefault="00EB4521">
      <w:pPr>
        <w:pStyle w:val="Standard"/>
        <w:autoSpaceDE w:val="0"/>
        <w:jc w:val="both"/>
        <w:rPr>
          <w:rFonts w:ascii="Work Sans" w:hAnsi="Work Sans"/>
          <w:sz w:val="16"/>
          <w:szCs w:val="16"/>
        </w:rPr>
      </w:pPr>
      <w:r>
        <w:rPr>
          <w:rFonts w:ascii="Work Sans" w:hAnsi="Work Sans"/>
          <w:sz w:val="16"/>
          <w:szCs w:val="16"/>
        </w:rPr>
        <w:t xml:space="preserve">Sol </w:t>
      </w:r>
      <w:proofErr w:type="spellStart"/>
      <w:r>
        <w:rPr>
          <w:rFonts w:ascii="Work Sans" w:hAnsi="Work Sans"/>
          <w:sz w:val="16"/>
          <w:szCs w:val="16"/>
        </w:rPr>
        <w:t>Angel</w:t>
      </w:r>
      <w:proofErr w:type="spellEnd"/>
      <w:r>
        <w:rPr>
          <w:rFonts w:ascii="Work Sans" w:hAnsi="Work Sans"/>
          <w:sz w:val="16"/>
          <w:szCs w:val="16"/>
        </w:rPr>
        <w:t xml:space="preserve"> Cala Acosta – Asesora Ministra de </w:t>
      </w:r>
      <w:r>
        <w:rPr>
          <w:rFonts w:ascii="Work Sans" w:hAnsi="Work Sans"/>
          <w:sz w:val="16"/>
          <w:szCs w:val="16"/>
        </w:rPr>
        <w:t>Transporte</w:t>
      </w:r>
    </w:p>
    <w:p w14:paraId="2CAB311A" w14:textId="77777777" w:rsidR="0092444B" w:rsidRDefault="00EB4521">
      <w:pPr>
        <w:pStyle w:val="Standard"/>
        <w:autoSpaceDE w:val="0"/>
        <w:jc w:val="both"/>
        <w:rPr>
          <w:rFonts w:ascii="Work Sans" w:hAnsi="Work Sans"/>
          <w:sz w:val="16"/>
          <w:szCs w:val="16"/>
        </w:rPr>
      </w:pPr>
      <w:r>
        <w:rPr>
          <w:rFonts w:ascii="Work Sans" w:hAnsi="Work Sans"/>
          <w:sz w:val="16"/>
          <w:szCs w:val="16"/>
        </w:rPr>
        <w:t>Juan Esteban Gil Chavarría, Director General – INVÍAS.</w:t>
      </w:r>
    </w:p>
    <w:p w14:paraId="3E87780E" w14:textId="77777777" w:rsidR="0092444B" w:rsidRDefault="00EB4521">
      <w:pPr>
        <w:pStyle w:val="Standard"/>
        <w:autoSpaceDE w:val="0"/>
        <w:jc w:val="both"/>
        <w:rPr>
          <w:rFonts w:ascii="Work Sans" w:hAnsi="Work Sans"/>
          <w:sz w:val="16"/>
          <w:szCs w:val="16"/>
        </w:rPr>
      </w:pPr>
      <w:r>
        <w:rPr>
          <w:rFonts w:ascii="Work Sans" w:hAnsi="Work Sans"/>
          <w:sz w:val="16"/>
          <w:szCs w:val="16"/>
        </w:rPr>
        <w:t xml:space="preserve">Pablo Augusto Alfonso Carrillo – Jefe Oficina Asesora Jurídica Ministerio de Transporte </w:t>
      </w:r>
    </w:p>
    <w:p w14:paraId="6E15811B" w14:textId="77777777" w:rsidR="0092444B" w:rsidRDefault="00EB4521">
      <w:pPr>
        <w:pStyle w:val="Standard"/>
        <w:autoSpaceDE w:val="0"/>
        <w:jc w:val="both"/>
        <w:rPr>
          <w:rFonts w:ascii="Work Sans" w:hAnsi="Work Sans"/>
          <w:sz w:val="16"/>
          <w:szCs w:val="16"/>
        </w:rPr>
      </w:pPr>
      <w:r>
        <w:rPr>
          <w:rFonts w:ascii="Work Sans" w:hAnsi="Work Sans"/>
          <w:sz w:val="16"/>
          <w:szCs w:val="16"/>
        </w:rPr>
        <w:t>Beatriz Helena García Guzmán, Jefe Oficina Asesora Jurídica – INVÍAS.</w:t>
      </w:r>
    </w:p>
    <w:p w14:paraId="4A06E8B6" w14:textId="77777777" w:rsidR="0092444B" w:rsidRDefault="00EB4521">
      <w:pPr>
        <w:pStyle w:val="Standard"/>
        <w:autoSpaceDE w:val="0"/>
        <w:jc w:val="both"/>
        <w:rPr>
          <w:rFonts w:ascii="Work Sans" w:hAnsi="Work Sans"/>
          <w:sz w:val="16"/>
          <w:szCs w:val="16"/>
        </w:rPr>
      </w:pPr>
      <w:r>
        <w:rPr>
          <w:rFonts w:ascii="Work Sans" w:hAnsi="Work Sans"/>
          <w:sz w:val="16"/>
          <w:szCs w:val="16"/>
        </w:rPr>
        <w:t xml:space="preserve">Mónica Cervera </w:t>
      </w:r>
      <w:proofErr w:type="spellStart"/>
      <w:r>
        <w:rPr>
          <w:rFonts w:ascii="Work Sans" w:hAnsi="Work Sans"/>
          <w:sz w:val="16"/>
          <w:szCs w:val="16"/>
        </w:rPr>
        <w:t>Murillas</w:t>
      </w:r>
      <w:proofErr w:type="spellEnd"/>
      <w:r>
        <w:rPr>
          <w:rFonts w:ascii="Work Sans" w:hAnsi="Work Sans"/>
          <w:sz w:val="16"/>
          <w:szCs w:val="16"/>
        </w:rPr>
        <w:t xml:space="preserve"> –Jefe d</w:t>
      </w:r>
      <w:r>
        <w:rPr>
          <w:rFonts w:ascii="Work Sans" w:hAnsi="Work Sans"/>
          <w:sz w:val="16"/>
          <w:szCs w:val="16"/>
        </w:rPr>
        <w:t>e Oficina de Regulación Económica Ministerio de Transporte</w:t>
      </w:r>
    </w:p>
    <w:p w14:paraId="061A6A5C" w14:textId="77777777" w:rsidR="0092444B" w:rsidRDefault="00EB4521">
      <w:pPr>
        <w:pStyle w:val="Standard"/>
        <w:autoSpaceDE w:val="0"/>
        <w:jc w:val="both"/>
        <w:rPr>
          <w:rFonts w:ascii="Work Sans" w:hAnsi="Work Sans"/>
          <w:sz w:val="16"/>
          <w:szCs w:val="16"/>
        </w:rPr>
      </w:pPr>
      <w:r>
        <w:rPr>
          <w:rFonts w:ascii="Work Sans" w:hAnsi="Work Sans"/>
          <w:sz w:val="16"/>
          <w:szCs w:val="16"/>
        </w:rPr>
        <w:t>Guillermo Toro Acuña, Director Técnico – INVÍAS.</w:t>
      </w:r>
    </w:p>
    <w:p w14:paraId="3E6EEF8A" w14:textId="77777777" w:rsidR="0092444B" w:rsidRDefault="00EB4521">
      <w:pPr>
        <w:pStyle w:val="Standard"/>
        <w:autoSpaceDE w:val="0"/>
        <w:jc w:val="both"/>
      </w:pPr>
      <w:proofErr w:type="spellStart"/>
      <w:r>
        <w:rPr>
          <w:rFonts w:ascii="Work Sans" w:hAnsi="Work Sans" w:cs="Cambria"/>
          <w:color w:val="000000"/>
          <w:sz w:val="16"/>
          <w:szCs w:val="16"/>
        </w:rPr>
        <w:t>Maria</w:t>
      </w:r>
      <w:proofErr w:type="spellEnd"/>
      <w:r>
        <w:rPr>
          <w:rFonts w:ascii="Work Sans" w:hAnsi="Work Sans" w:cs="Cambria"/>
          <w:color w:val="000000"/>
          <w:sz w:val="16"/>
          <w:szCs w:val="16"/>
        </w:rPr>
        <w:t xml:space="preserve"> Victoria </w:t>
      </w:r>
      <w:proofErr w:type="spellStart"/>
      <w:r>
        <w:rPr>
          <w:rFonts w:ascii="Work Sans" w:hAnsi="Work Sans" w:cs="Cambria"/>
          <w:color w:val="000000"/>
          <w:sz w:val="16"/>
          <w:szCs w:val="16"/>
        </w:rPr>
        <w:t>Arbelaez</w:t>
      </w:r>
      <w:proofErr w:type="spellEnd"/>
      <w:r>
        <w:rPr>
          <w:rFonts w:ascii="Work Sans" w:hAnsi="Work Sans" w:cs="Cambria"/>
          <w:color w:val="000000"/>
          <w:sz w:val="16"/>
          <w:szCs w:val="16"/>
        </w:rPr>
        <w:t xml:space="preserve"> </w:t>
      </w:r>
      <w:proofErr w:type="spellStart"/>
      <w:r>
        <w:rPr>
          <w:rFonts w:ascii="Work Sans" w:hAnsi="Work Sans" w:cs="Cambria"/>
          <w:color w:val="000000"/>
          <w:sz w:val="16"/>
          <w:szCs w:val="16"/>
        </w:rPr>
        <w:t>Gonzalez</w:t>
      </w:r>
      <w:proofErr w:type="spellEnd"/>
      <w:r>
        <w:rPr>
          <w:rFonts w:ascii="Work Sans" w:hAnsi="Work Sans" w:cs="Cambria"/>
          <w:color w:val="000000"/>
          <w:sz w:val="16"/>
          <w:szCs w:val="16"/>
        </w:rPr>
        <w:t>, Abogada Dirección Técnica – INVÍAS</w:t>
      </w:r>
    </w:p>
    <w:p w14:paraId="40E849BD" w14:textId="77777777" w:rsidR="0092444B" w:rsidRDefault="00EB4521">
      <w:pPr>
        <w:pStyle w:val="Standard"/>
        <w:autoSpaceDE w:val="0"/>
        <w:jc w:val="both"/>
        <w:rPr>
          <w:rFonts w:ascii="Work Sans" w:hAnsi="Work Sans"/>
          <w:sz w:val="16"/>
          <w:szCs w:val="16"/>
        </w:rPr>
      </w:pPr>
      <w:r>
        <w:rPr>
          <w:rFonts w:ascii="Work Sans" w:hAnsi="Work Sans"/>
          <w:sz w:val="16"/>
          <w:szCs w:val="16"/>
        </w:rPr>
        <w:t xml:space="preserve">Ramón </w:t>
      </w:r>
      <w:proofErr w:type="spellStart"/>
      <w:r>
        <w:rPr>
          <w:rFonts w:ascii="Work Sans" w:hAnsi="Work Sans"/>
          <w:sz w:val="16"/>
          <w:szCs w:val="16"/>
        </w:rPr>
        <w:t>alberto</w:t>
      </w:r>
      <w:proofErr w:type="spellEnd"/>
      <w:r>
        <w:rPr>
          <w:rFonts w:ascii="Work Sans" w:hAnsi="Work Sans"/>
          <w:sz w:val="16"/>
          <w:szCs w:val="16"/>
        </w:rPr>
        <w:t xml:space="preserve"> Lobo Arias - Coordinador Grupo de Peajes y Valorización</w:t>
      </w:r>
    </w:p>
    <w:p w14:paraId="2A61B1E0" w14:textId="77777777" w:rsidR="0092444B" w:rsidRDefault="00EB4521">
      <w:pPr>
        <w:pStyle w:val="Standard"/>
        <w:autoSpaceDE w:val="0"/>
        <w:jc w:val="both"/>
        <w:rPr>
          <w:rFonts w:ascii="Work Sans" w:hAnsi="Work Sans"/>
          <w:sz w:val="16"/>
          <w:szCs w:val="16"/>
        </w:rPr>
      </w:pPr>
      <w:r>
        <w:rPr>
          <w:rFonts w:ascii="Work Sans" w:hAnsi="Work Sans"/>
          <w:sz w:val="16"/>
          <w:szCs w:val="16"/>
        </w:rPr>
        <w:t>Magda Pao</w:t>
      </w:r>
      <w:r>
        <w:rPr>
          <w:rFonts w:ascii="Work Sans" w:hAnsi="Work Sans"/>
          <w:sz w:val="16"/>
          <w:szCs w:val="16"/>
        </w:rPr>
        <w:t xml:space="preserve">la Suarez alejo – Abogada Ministerio de Transporte </w:t>
      </w:r>
    </w:p>
    <w:p w14:paraId="00F1AC88" w14:textId="77777777" w:rsidR="0092444B" w:rsidRDefault="0092444B">
      <w:pPr>
        <w:pStyle w:val="Standard"/>
        <w:jc w:val="both"/>
        <w:rPr>
          <w:rFonts w:ascii="Work Sans" w:hAnsi="Work Sans"/>
          <w:sz w:val="16"/>
          <w:szCs w:val="16"/>
        </w:rPr>
      </w:pPr>
    </w:p>
    <w:p w14:paraId="52747BD4" w14:textId="77777777" w:rsidR="0092444B" w:rsidRDefault="0092444B">
      <w:pPr>
        <w:jc w:val="center"/>
        <w:rPr>
          <w:rFonts w:ascii="Work Sans" w:hAnsi="Work Sans" w:cs="Cambria"/>
          <w:sz w:val="16"/>
          <w:szCs w:val="16"/>
        </w:rPr>
      </w:pPr>
    </w:p>
    <w:sectPr w:rsidR="0092444B">
      <w:headerReference w:type="default" r:id="rId7"/>
      <w:pgSz w:w="12247" w:h="18711"/>
      <w:pgMar w:top="1418" w:right="1701" w:bottom="1559" w:left="1985" w:header="851" w:footer="567" w:gutter="0"/>
      <w:pgBorders>
        <w:top w:val="single" w:sz="4" w:space="15" w:color="000000"/>
        <w:left w:val="single" w:sz="4" w:space="15" w:color="000000"/>
        <w:bottom w:val="single" w:sz="4" w:space="15" w:color="000000"/>
        <w:right w:val="single" w:sz="4" w:space="15" w:color="000000"/>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08281AE" w14:textId="77777777" w:rsidR="00EB4521" w:rsidRDefault="00EB4521">
      <w:r>
        <w:separator/>
      </w:r>
    </w:p>
  </w:endnote>
  <w:endnote w:type="continuationSeparator" w:id="0">
    <w:p w14:paraId="58B16478" w14:textId="77777777" w:rsidR="00EB4521" w:rsidRDefault="00EB45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0"/>
    <w:family w:val="roman"/>
    <w:pitch w:val="variable"/>
  </w:font>
  <w:font w:name="Lohit Devanagari">
    <w:altName w:val="Calibri"/>
    <w:charset w:val="00"/>
    <w:family w:val="auto"/>
    <w:pitch w:val="variable"/>
  </w:font>
  <w:font w:name="Calibri Light">
    <w:panose1 w:val="020F0302020204030204"/>
    <w:charset w:val="00"/>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ourier">
    <w:panose1 w:val="02070409020205020404"/>
    <w:charset w:val="00"/>
    <w:family w:val="modern"/>
    <w:pitch w:val="fixed"/>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Work Sans">
    <w:panose1 w:val="00000500000000000000"/>
    <w:charset w:val="00"/>
    <w:family w:val="auto"/>
    <w:pitch w:val="variable"/>
    <w:sig w:usb0="00000007" w:usb1="00000001" w:usb2="00000000" w:usb3="00000000" w:csb0="00000093" w:csb1="00000000"/>
  </w:font>
  <w:font w:name="Cambria">
    <w:panose1 w:val="02040503050406030204"/>
    <w:charset w:val="00"/>
    <w:family w:val="roman"/>
    <w:pitch w:val="variable"/>
    <w:sig w:usb0="E00006FF" w:usb1="420024FF" w:usb2="02000000" w:usb3="00000000" w:csb0="0000019F" w:csb1="00000000"/>
  </w:font>
  <w:font w:name="ArialNarrow">
    <w:charset w:val="00"/>
    <w:family w:val="swiss"/>
    <w:pitch w:val="default"/>
  </w:font>
  <w:font w:name="DengXian Light">
    <w:charset w:val="86"/>
    <w:family w:val="auto"/>
    <w:pitch w:val="variable"/>
    <w:sig w:usb0="A00002BF" w:usb1="38CF7CFA" w:usb2="00000016" w:usb3="00000000" w:csb0="0004000F" w:csb1="00000000"/>
  </w:font>
  <w:font w:name="Code3of9">
    <w:altName w:val="Calibri"/>
    <w:charset w:val="00"/>
    <w:family w:val="auto"/>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2D4C3C3" w14:textId="77777777" w:rsidR="00EB4521" w:rsidRDefault="00EB4521">
      <w:r>
        <w:rPr>
          <w:color w:val="000000"/>
        </w:rPr>
        <w:separator/>
      </w:r>
    </w:p>
  </w:footnote>
  <w:footnote w:type="continuationSeparator" w:id="0">
    <w:p w14:paraId="32700643" w14:textId="77777777" w:rsidR="00EB4521" w:rsidRDefault="00EB45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602AAC" w14:textId="77777777" w:rsidR="006E29A0" w:rsidRDefault="00EB4521">
    <w:r>
      <w:rPr>
        <w:noProof/>
        <w:lang w:val="es-CO" w:eastAsia="es-CO" w:bidi="ar-SA"/>
      </w:rPr>
      <w:drawing>
        <wp:inline distT="0" distB="0" distL="0" distR="0" wp14:anchorId="522DBFD7" wp14:editId="40256B58">
          <wp:extent cx="2164083" cy="320040"/>
          <wp:effectExtent l="0" t="0" r="7617" b="3810"/>
          <wp:docPr id="1"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2164083" cy="320040"/>
                  </a:xfrm>
                  <a:prstGeom prst="rect">
                    <a:avLst/>
                  </a:prstGeom>
                  <a:noFill/>
                  <a:ln>
                    <a:noFill/>
                    <a:prstDash/>
                  </a:ln>
                </pic:spPr>
              </pic:pic>
            </a:graphicData>
          </a:graphic>
        </wp:inline>
      </w:drawing>
    </w:r>
  </w:p>
  <w:p w14:paraId="7051E1DF" w14:textId="77777777" w:rsidR="006E29A0" w:rsidRDefault="00EB4521">
    <w:pPr>
      <w:pStyle w:val="Encabezado"/>
      <w:jc w:val="center"/>
    </w:pPr>
    <w:r>
      <w:rPr>
        <w:rFonts w:ascii="Work Sans" w:hAnsi="Work Sans" w:cs="Arial"/>
        <w:b/>
      </w:rPr>
      <w:t>RESOLUCIÓN NÚMERO</w:t>
    </w:r>
    <w:r>
      <w:rPr>
        <w:rFonts w:ascii="Work Sans" w:hAnsi="Work Sans" w:cs="Arial"/>
        <w:b/>
        <w:sz w:val="36"/>
      </w:rPr>
      <w:t xml:space="preserve"> </w:t>
    </w:r>
    <w:r>
      <w:rPr>
        <w:rFonts w:ascii="Work Sans" w:hAnsi="Work Sans"/>
        <w:b/>
        <w:sz w:val="28"/>
      </w:rPr>
      <w:t>*RAD_S*</w:t>
    </w:r>
  </w:p>
  <w:p w14:paraId="10531C9A" w14:textId="77777777" w:rsidR="006E29A0" w:rsidRDefault="00EB4521">
    <w:pPr>
      <w:pStyle w:val="Encabezado"/>
      <w:jc w:val="center"/>
    </w:pPr>
    <w:r>
      <w:rPr>
        <w:rFonts w:ascii="Work Sans" w:hAnsi="Work Sans"/>
        <w:sz w:val="20"/>
      </w:rPr>
      <w:t xml:space="preserve">de </w:t>
    </w:r>
    <w:r>
      <w:rPr>
        <w:rFonts w:ascii="Work Sans" w:hAnsi="Work Sans" w:cs="Arial"/>
        <w:sz w:val="20"/>
        <w:lang w:val="es-CO"/>
      </w:rPr>
      <w:t>*F_RAD_S*</w:t>
    </w:r>
  </w:p>
  <w:p w14:paraId="5F7D0BB2" w14:textId="77777777" w:rsidR="006E29A0" w:rsidRDefault="00EB4521">
    <w:pPr>
      <w:pStyle w:val="Encabezado"/>
      <w:jc w:val="center"/>
      <w:rPr>
        <w:rFonts w:ascii="Code3of9" w:hAnsi="Code3of9" w:cs="Tahoma"/>
        <w:sz w:val="36"/>
        <w:szCs w:val="40"/>
      </w:rPr>
    </w:pPr>
    <w:r>
      <w:rPr>
        <w:rFonts w:ascii="Code3of9" w:hAnsi="Code3of9" w:cs="Tahoma"/>
        <w:sz w:val="36"/>
        <w:szCs w:val="40"/>
      </w:rPr>
      <w:t>**RAD_S**</w:t>
    </w:r>
  </w:p>
  <w:p w14:paraId="5B369E01" w14:textId="77777777" w:rsidR="006E29A0" w:rsidRDefault="00EB4521">
    <w:pPr>
      <w:autoSpaceDE w:val="0"/>
      <w:jc w:val="center"/>
      <w:rPr>
        <w:rFonts w:ascii="Work Sans" w:hAnsi="Work Sans" w:cs="Cambria"/>
        <w:i/>
        <w:iCs/>
        <w:sz w:val="20"/>
        <w:szCs w:val="20"/>
        <w:lang w:eastAsia="es-CO"/>
      </w:rPr>
    </w:pPr>
  </w:p>
  <w:p w14:paraId="59586D3F" w14:textId="77777777" w:rsidR="006E29A0" w:rsidRDefault="00EB4521">
    <w:pPr>
      <w:autoSpaceDE w:val="0"/>
      <w:jc w:val="center"/>
      <w:rPr>
        <w:rFonts w:ascii="Work Sans" w:hAnsi="Work Sans" w:cs="Cambria"/>
        <w:i/>
        <w:iCs/>
        <w:sz w:val="20"/>
        <w:szCs w:val="20"/>
        <w:lang w:eastAsia="es-CO"/>
      </w:rPr>
    </w:pPr>
    <w:r>
      <w:rPr>
        <w:rFonts w:ascii="Work Sans" w:hAnsi="Work Sans" w:cs="Cambria"/>
        <w:i/>
        <w:iCs/>
        <w:sz w:val="20"/>
        <w:szCs w:val="20"/>
        <w:lang w:eastAsia="es-CO"/>
      </w:rPr>
      <w:t>“Por la cual se establece tarifas diferenciales para las Categorías I y II en la estación de Peaje "Cerritos II".</w:t>
    </w:r>
  </w:p>
  <w:p w14:paraId="3063DE68" w14:textId="77777777" w:rsidR="006E29A0" w:rsidRDefault="00EB4521">
    <w:pPr>
      <w:pStyle w:val="Standard"/>
      <w:autoSpaceDE w:val="0"/>
      <w:rPr>
        <w:rFonts w:ascii="Work Sans" w:hAnsi="Work Sans"/>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527609"/>
    <w:multiLevelType w:val="multilevel"/>
    <w:tmpl w:val="F252CE84"/>
    <w:styleLink w:val="WW8Num19"/>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 w15:restartNumberingAfterBreak="0">
    <w:nsid w:val="09663BE8"/>
    <w:multiLevelType w:val="multilevel"/>
    <w:tmpl w:val="0D26E368"/>
    <w:styleLink w:val="WW8Num14"/>
    <w:lvl w:ilvl="0">
      <w:start w:val="1"/>
      <w:numFmt w:val="decimal"/>
      <w:lvlText w:val="%1."/>
      <w:lvlJc w:val="left"/>
      <w:rPr>
        <w:rFonts w:cs="Times New Roman"/>
        <w:b w:val="0"/>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2" w15:restartNumberingAfterBreak="0">
    <w:nsid w:val="0AA623B1"/>
    <w:multiLevelType w:val="multilevel"/>
    <w:tmpl w:val="C76AE324"/>
    <w:styleLink w:val="WW8Num11"/>
    <w:lvl w:ilvl="0">
      <w:start w:val="12"/>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3" w15:restartNumberingAfterBreak="0">
    <w:nsid w:val="188F61D8"/>
    <w:multiLevelType w:val="multilevel"/>
    <w:tmpl w:val="F0F0D830"/>
    <w:styleLink w:val="WW8Num4"/>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4" w15:restartNumberingAfterBreak="0">
    <w:nsid w:val="1AB30386"/>
    <w:multiLevelType w:val="multilevel"/>
    <w:tmpl w:val="A6C42570"/>
    <w:styleLink w:val="WW8Num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5" w15:restartNumberingAfterBreak="0">
    <w:nsid w:val="1B36160F"/>
    <w:multiLevelType w:val="multilevel"/>
    <w:tmpl w:val="0A1AE6CE"/>
    <w:styleLink w:val="WW8Num2"/>
    <w:lvl w:ilvl="0">
      <w:start w:val="1"/>
      <w:numFmt w:val="decimal"/>
      <w:lvlText w:val="%1."/>
      <w:lvlJc w:val="left"/>
      <w:rPr>
        <w:rFonts w:ascii="Arial" w:hAnsi="Arial" w:cs="Arial"/>
        <w:sz w:val="24"/>
        <w:szCs w:val="24"/>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6" w15:restartNumberingAfterBreak="0">
    <w:nsid w:val="2E3A311C"/>
    <w:multiLevelType w:val="multilevel"/>
    <w:tmpl w:val="9BBE446E"/>
    <w:styleLink w:val="WW8Num9"/>
    <w:lvl w:ilvl="0">
      <w:numFmt w:val="bullet"/>
      <w:lvlText w:val=""/>
      <w:lvlJc w:val="left"/>
      <w:rPr>
        <w:rFonts w:ascii="Symbol" w:hAnsi="Symbol"/>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7" w15:restartNumberingAfterBreak="0">
    <w:nsid w:val="306F54C9"/>
    <w:multiLevelType w:val="multilevel"/>
    <w:tmpl w:val="E0F4AF28"/>
    <w:styleLink w:val="WW8Num16"/>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8" w15:restartNumberingAfterBreak="0">
    <w:nsid w:val="3DEB117A"/>
    <w:multiLevelType w:val="multilevel"/>
    <w:tmpl w:val="2BD01EE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3EE87F3C"/>
    <w:multiLevelType w:val="multilevel"/>
    <w:tmpl w:val="DF0C7F46"/>
    <w:styleLink w:val="WW8Num3"/>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0" w15:restartNumberingAfterBreak="0">
    <w:nsid w:val="439B4780"/>
    <w:multiLevelType w:val="multilevel"/>
    <w:tmpl w:val="7472CBC2"/>
    <w:styleLink w:val="WW8Num15"/>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1" w15:restartNumberingAfterBreak="0">
    <w:nsid w:val="4A7F264E"/>
    <w:multiLevelType w:val="multilevel"/>
    <w:tmpl w:val="9194535E"/>
    <w:styleLink w:val="WW8Num6"/>
    <w:lvl w:ilvl="0">
      <w:start w:val="1"/>
      <w:numFmt w:val="decimal"/>
      <w:pStyle w:val="titulotres"/>
      <w:lvlText w:val="%1"/>
      <w:lvlJc w:val="left"/>
      <w:rPr>
        <w:rFonts w:cs="Times New Roman"/>
      </w:rPr>
    </w:lvl>
    <w:lvl w:ilvl="1">
      <w:start w:val="4"/>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2" w15:restartNumberingAfterBreak="0">
    <w:nsid w:val="4CC62044"/>
    <w:multiLevelType w:val="multilevel"/>
    <w:tmpl w:val="27C8967A"/>
    <w:styleLink w:val="WW8Num17"/>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3" w15:restartNumberingAfterBreak="0">
    <w:nsid w:val="53150AFB"/>
    <w:multiLevelType w:val="multilevel"/>
    <w:tmpl w:val="FE5A45FA"/>
    <w:styleLink w:val="WW8Num12"/>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4" w15:restartNumberingAfterBreak="0">
    <w:nsid w:val="53FB7DFF"/>
    <w:multiLevelType w:val="multilevel"/>
    <w:tmpl w:val="05A85320"/>
    <w:styleLink w:val="WW8Num8"/>
    <w:lvl w:ilvl="0">
      <w:start w:val="1"/>
      <w:numFmt w:val="decimal"/>
      <w:lvlText w:val="%1."/>
      <w:lvlJc w:val="left"/>
      <w:rPr>
        <w:rFonts w:ascii="Arial" w:hAnsi="Arial" w:cs="Arial"/>
        <w:b w:val="0"/>
        <w:i w:val="0"/>
        <w:sz w:val="22"/>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5" w15:restartNumberingAfterBreak="0">
    <w:nsid w:val="54B60C23"/>
    <w:multiLevelType w:val="multilevel"/>
    <w:tmpl w:val="BD643AB6"/>
    <w:styleLink w:val="WW8Num5"/>
    <w:lvl w:ilvl="0">
      <w:start w:val="1"/>
      <w:numFmt w:val="decimal"/>
      <w:lvlText w:val="%1."/>
      <w:lvlJc w:val="left"/>
      <w:rPr>
        <w:rFonts w:cs="Times New Roman"/>
        <w:b w:val="0"/>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6" w15:restartNumberingAfterBreak="0">
    <w:nsid w:val="5D7520C3"/>
    <w:multiLevelType w:val="multilevel"/>
    <w:tmpl w:val="FC248556"/>
    <w:styleLink w:val="WW8Num1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7" w15:restartNumberingAfterBreak="0">
    <w:nsid w:val="62467152"/>
    <w:multiLevelType w:val="multilevel"/>
    <w:tmpl w:val="659C6C78"/>
    <w:styleLink w:val="WW8Num18"/>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8" w15:restartNumberingAfterBreak="0">
    <w:nsid w:val="68D50727"/>
    <w:multiLevelType w:val="multilevel"/>
    <w:tmpl w:val="0798BCC8"/>
    <w:styleLink w:val="WW8Num1"/>
    <w:lvl w:ilvl="0">
      <w:start w:val="1"/>
      <w:numFmt w:val="decimal"/>
      <w:lvlText w:val="%1."/>
      <w:lvlJc w:val="left"/>
      <w:rPr>
        <w:rFonts w:ascii="Arial" w:hAnsi="Arial" w:cs="Arial"/>
        <w:spacing w:val="6"/>
        <w:sz w:val="22"/>
        <w:szCs w:val="22"/>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9" w15:restartNumberingAfterBreak="0">
    <w:nsid w:val="71E5273B"/>
    <w:multiLevelType w:val="multilevel"/>
    <w:tmpl w:val="8EBE986A"/>
    <w:styleLink w:val="WW8Num13"/>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num w:numId="1">
    <w:abstractNumId w:val="5"/>
  </w:num>
  <w:num w:numId="2">
    <w:abstractNumId w:val="1"/>
  </w:num>
  <w:num w:numId="3">
    <w:abstractNumId w:val="18"/>
  </w:num>
  <w:num w:numId="4">
    <w:abstractNumId w:val="16"/>
  </w:num>
  <w:num w:numId="5">
    <w:abstractNumId w:val="17"/>
  </w:num>
  <w:num w:numId="6">
    <w:abstractNumId w:val="14"/>
  </w:num>
  <w:num w:numId="7">
    <w:abstractNumId w:val="9"/>
  </w:num>
  <w:num w:numId="8">
    <w:abstractNumId w:val="3"/>
  </w:num>
  <w:num w:numId="9">
    <w:abstractNumId w:val="4"/>
  </w:num>
  <w:num w:numId="10">
    <w:abstractNumId w:val="15"/>
  </w:num>
  <w:num w:numId="11">
    <w:abstractNumId w:val="19"/>
  </w:num>
  <w:num w:numId="12">
    <w:abstractNumId w:val="11"/>
  </w:num>
  <w:num w:numId="13">
    <w:abstractNumId w:val="13"/>
  </w:num>
  <w:num w:numId="14">
    <w:abstractNumId w:val="2"/>
  </w:num>
  <w:num w:numId="15">
    <w:abstractNumId w:val="10"/>
  </w:num>
  <w:num w:numId="16">
    <w:abstractNumId w:val="7"/>
  </w:num>
  <w:num w:numId="17">
    <w:abstractNumId w:val="0"/>
  </w:num>
  <w:num w:numId="18">
    <w:abstractNumId w:val="6"/>
  </w:num>
  <w:num w:numId="19">
    <w:abstractNumId w:val="12"/>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92444B"/>
    <w:rsid w:val="00561A80"/>
    <w:rsid w:val="0092444B"/>
    <w:rsid w:val="00EB452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2335B1"/>
  <w15:docId w15:val="{4930C1C6-6A66-44AC-ABE0-A02A095488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Liberation Serif" w:eastAsia="Times New Roman" w:hAnsi="Liberation Serif" w:cs="Liberation Serif"/>
        <w:lang w:val="es-CO" w:eastAsia="es-CO"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suppressAutoHyphens/>
    </w:pPr>
    <w:rPr>
      <w:rFonts w:cs="Lohit Devanagari"/>
      <w:kern w:val="3"/>
      <w:sz w:val="24"/>
      <w:szCs w:val="24"/>
      <w:lang w:val="es-ES" w:eastAsia="zh-CN" w:bidi="hi-IN"/>
    </w:rPr>
  </w:style>
  <w:style w:type="paragraph" w:styleId="Ttulo1">
    <w:name w:val="heading 1"/>
    <w:basedOn w:val="Standard"/>
    <w:next w:val="Standard"/>
    <w:uiPriority w:val="9"/>
    <w:qFormat/>
    <w:pPr>
      <w:keepNext/>
      <w:tabs>
        <w:tab w:val="left" w:pos="-720"/>
        <w:tab w:val="left" w:pos="4395"/>
      </w:tabs>
      <w:jc w:val="center"/>
      <w:outlineLvl w:val="0"/>
    </w:pPr>
    <w:rPr>
      <w:rFonts w:ascii="Arial" w:hAnsi="Arial" w:cs="Arial"/>
      <w:b/>
      <w:spacing w:val="-3"/>
      <w:sz w:val="28"/>
    </w:rPr>
  </w:style>
  <w:style w:type="paragraph" w:styleId="Ttulo2">
    <w:name w:val="heading 2"/>
    <w:basedOn w:val="Standard"/>
    <w:next w:val="Standard"/>
    <w:uiPriority w:val="9"/>
    <w:semiHidden/>
    <w:unhideWhenUsed/>
    <w:qFormat/>
    <w:pPr>
      <w:keepNext/>
      <w:widowControl w:val="0"/>
      <w:jc w:val="center"/>
      <w:outlineLvl w:val="1"/>
    </w:pPr>
    <w:rPr>
      <w:rFonts w:ascii="Arial" w:hAnsi="Arial" w:cs="Arial"/>
      <w:b/>
    </w:rPr>
  </w:style>
  <w:style w:type="paragraph" w:styleId="Ttulo3">
    <w:name w:val="heading 3"/>
    <w:basedOn w:val="Standard"/>
    <w:next w:val="Standard"/>
    <w:uiPriority w:val="9"/>
    <w:semiHidden/>
    <w:unhideWhenUsed/>
    <w:qFormat/>
    <w:pPr>
      <w:keepNext/>
      <w:tabs>
        <w:tab w:val="left" w:pos="-720"/>
        <w:tab w:val="right" w:pos="8080"/>
      </w:tabs>
      <w:jc w:val="both"/>
      <w:outlineLvl w:val="2"/>
    </w:pPr>
    <w:rPr>
      <w:rFonts w:ascii="Arial" w:hAnsi="Arial" w:cs="Arial"/>
      <w:spacing w:val="-3"/>
      <w:sz w:val="28"/>
    </w:rPr>
  </w:style>
  <w:style w:type="paragraph" w:styleId="Ttulo4">
    <w:name w:val="heading 4"/>
    <w:basedOn w:val="Standard"/>
    <w:next w:val="Standard"/>
    <w:uiPriority w:val="9"/>
    <w:semiHidden/>
    <w:unhideWhenUsed/>
    <w:qFormat/>
    <w:pPr>
      <w:keepNext/>
      <w:tabs>
        <w:tab w:val="left" w:pos="-720"/>
      </w:tabs>
      <w:ind w:right="851"/>
      <w:jc w:val="both"/>
      <w:outlineLvl w:val="3"/>
    </w:pPr>
    <w:rPr>
      <w:rFonts w:ascii="Arial" w:hAnsi="Arial" w:cs="Arial"/>
      <w:b/>
      <w:bCs/>
      <w:spacing w:val="-3"/>
      <w:sz w:val="28"/>
    </w:rPr>
  </w:style>
  <w:style w:type="paragraph" w:styleId="Ttulo5">
    <w:name w:val="heading 5"/>
    <w:basedOn w:val="Standard"/>
    <w:next w:val="Standard"/>
    <w:uiPriority w:val="9"/>
    <w:semiHidden/>
    <w:unhideWhenUsed/>
    <w:qFormat/>
    <w:pPr>
      <w:keepNext/>
      <w:outlineLvl w:val="4"/>
    </w:pPr>
    <w:rPr>
      <w:rFonts w:ascii="Arial" w:hAnsi="Arial" w:cs="Arial"/>
      <w:b/>
      <w:bCs/>
      <w:sz w:val="28"/>
    </w:rPr>
  </w:style>
  <w:style w:type="paragraph" w:styleId="Ttulo6">
    <w:name w:val="heading 6"/>
    <w:basedOn w:val="Standard"/>
    <w:next w:val="Standard"/>
    <w:uiPriority w:val="9"/>
    <w:semiHidden/>
    <w:unhideWhenUsed/>
    <w:qFormat/>
    <w:pPr>
      <w:keepNext/>
      <w:tabs>
        <w:tab w:val="left" w:pos="-720"/>
      </w:tabs>
      <w:jc w:val="both"/>
      <w:outlineLvl w:val="5"/>
    </w:pPr>
    <w:rPr>
      <w:rFonts w:ascii="Arial" w:hAnsi="Arial" w:cs="Arial"/>
      <w:spacing w:val="-3"/>
      <w:sz w:val="28"/>
    </w:rPr>
  </w:style>
  <w:style w:type="paragraph" w:styleId="Ttulo7">
    <w:name w:val="heading 7"/>
    <w:basedOn w:val="Standard"/>
    <w:next w:val="Standard"/>
    <w:pPr>
      <w:keepNext/>
      <w:outlineLvl w:val="6"/>
    </w:pPr>
    <w:rPr>
      <w:rFonts w:ascii="Arial" w:hAnsi="Arial" w:cs="Arial"/>
    </w:rPr>
  </w:style>
  <w:style w:type="paragraph" w:styleId="Ttulo8">
    <w:name w:val="heading 8"/>
    <w:basedOn w:val="Standard"/>
    <w:next w:val="Standard"/>
    <w:pPr>
      <w:keepNext/>
      <w:tabs>
        <w:tab w:val="left" w:pos="-720"/>
      </w:tabs>
      <w:jc w:val="center"/>
      <w:outlineLvl w:val="7"/>
    </w:pPr>
    <w:rPr>
      <w:sz w:val="28"/>
    </w:rPr>
  </w:style>
  <w:style w:type="paragraph" w:styleId="Ttulo9">
    <w:name w:val="heading 9"/>
    <w:basedOn w:val="Standard"/>
    <w:next w:val="Standard"/>
    <w:pPr>
      <w:keepNext/>
      <w:tabs>
        <w:tab w:val="left" w:pos="-720"/>
        <w:tab w:val="left" w:pos="4395"/>
      </w:tabs>
      <w:jc w:val="both"/>
      <w:outlineLvl w:val="8"/>
    </w:pPr>
    <w:rPr>
      <w:rFonts w:ascii="Arial" w:hAnsi="Arial" w:cs="Arial"/>
      <w:b/>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OUNO">
    <w:name w:val="TITULO UNO"/>
    <w:basedOn w:val="Ttulo1"/>
    <w:pPr>
      <w:tabs>
        <w:tab w:val="clear" w:pos="4395"/>
      </w:tabs>
      <w:jc w:val="both"/>
    </w:pPr>
    <w:rPr>
      <w:bCs/>
      <w:spacing w:val="0"/>
      <w:sz w:val="24"/>
      <w:szCs w:val="24"/>
    </w:rPr>
  </w:style>
  <w:style w:type="character" w:customStyle="1" w:styleId="Ttulo1Car">
    <w:name w:val="Título 1 Car"/>
    <w:rPr>
      <w:rFonts w:ascii="Calibri Light" w:eastAsia="Times New Roman" w:hAnsi="Calibri Light" w:cs="Mangal"/>
      <w:b/>
      <w:bCs/>
      <w:kern w:val="3"/>
      <w:sz w:val="29"/>
      <w:szCs w:val="29"/>
      <w:lang w:bidi="hi-IN"/>
    </w:rPr>
  </w:style>
  <w:style w:type="character" w:customStyle="1" w:styleId="Ttulo2Car">
    <w:name w:val="Título 2 Car"/>
    <w:rPr>
      <w:rFonts w:ascii="Calibri Light" w:eastAsia="Times New Roman" w:hAnsi="Calibri Light" w:cs="Mangal"/>
      <w:b/>
      <w:bCs/>
      <w:i/>
      <w:iCs/>
      <w:sz w:val="25"/>
      <w:szCs w:val="25"/>
      <w:lang w:bidi="hi-IN"/>
    </w:rPr>
  </w:style>
  <w:style w:type="character" w:customStyle="1" w:styleId="Ttulo3Car">
    <w:name w:val="Título 3 Car"/>
    <w:rPr>
      <w:rFonts w:ascii="Calibri Light" w:eastAsia="Times New Roman" w:hAnsi="Calibri Light" w:cs="Mangal"/>
      <w:b/>
      <w:bCs/>
      <w:sz w:val="23"/>
      <w:szCs w:val="23"/>
      <w:lang w:bidi="hi-IN"/>
    </w:rPr>
  </w:style>
  <w:style w:type="character" w:customStyle="1" w:styleId="Ttulo4Car">
    <w:name w:val="Título 4 Car"/>
    <w:rPr>
      <w:rFonts w:ascii="Calibri" w:eastAsia="Times New Roman" w:hAnsi="Calibri" w:cs="Mangal"/>
      <w:b/>
      <w:bCs/>
      <w:sz w:val="25"/>
      <w:szCs w:val="25"/>
      <w:lang w:bidi="hi-IN"/>
    </w:rPr>
  </w:style>
  <w:style w:type="character" w:customStyle="1" w:styleId="Ttulo5Car">
    <w:name w:val="Título 5 Car"/>
    <w:rPr>
      <w:rFonts w:ascii="Calibri" w:eastAsia="Times New Roman" w:hAnsi="Calibri" w:cs="Mangal"/>
      <w:b/>
      <w:bCs/>
      <w:i/>
      <w:iCs/>
      <w:sz w:val="23"/>
      <w:szCs w:val="23"/>
      <w:lang w:bidi="hi-IN"/>
    </w:rPr>
  </w:style>
  <w:style w:type="character" w:customStyle="1" w:styleId="Ttulo6Car">
    <w:name w:val="Título 6 Car"/>
    <w:rPr>
      <w:rFonts w:ascii="Calibri" w:eastAsia="Times New Roman" w:hAnsi="Calibri" w:cs="Mangal"/>
      <w:b/>
      <w:bCs/>
      <w:sz w:val="20"/>
      <w:szCs w:val="20"/>
      <w:lang w:bidi="hi-IN"/>
    </w:rPr>
  </w:style>
  <w:style w:type="character" w:customStyle="1" w:styleId="Ttulo7Car">
    <w:name w:val="Título 7 Car"/>
    <w:rPr>
      <w:rFonts w:ascii="Calibri" w:eastAsia="Times New Roman" w:hAnsi="Calibri" w:cs="Mangal"/>
      <w:sz w:val="21"/>
      <w:szCs w:val="21"/>
      <w:lang w:bidi="hi-IN"/>
    </w:rPr>
  </w:style>
  <w:style w:type="character" w:customStyle="1" w:styleId="Ttulo8Car">
    <w:name w:val="Título 8 Car"/>
    <w:rPr>
      <w:rFonts w:ascii="Calibri" w:eastAsia="Times New Roman" w:hAnsi="Calibri" w:cs="Mangal"/>
      <w:i/>
      <w:iCs/>
      <w:sz w:val="21"/>
      <w:szCs w:val="21"/>
      <w:lang w:bidi="hi-IN"/>
    </w:rPr>
  </w:style>
  <w:style w:type="character" w:customStyle="1" w:styleId="Ttulo9Car">
    <w:name w:val="Título 9 Car"/>
    <w:rPr>
      <w:rFonts w:ascii="Calibri Light" w:eastAsia="Times New Roman" w:hAnsi="Calibri Light" w:cs="Mangal"/>
      <w:sz w:val="20"/>
      <w:szCs w:val="20"/>
      <w:lang w:bidi="hi-IN"/>
    </w:rPr>
  </w:style>
  <w:style w:type="paragraph" w:customStyle="1" w:styleId="Standard">
    <w:name w:val="Standard"/>
    <w:pPr>
      <w:suppressAutoHyphens/>
    </w:pPr>
    <w:rPr>
      <w:rFonts w:ascii="Courier New" w:hAnsi="Courier New" w:cs="Courier New"/>
      <w:kern w:val="3"/>
      <w:sz w:val="24"/>
      <w:lang w:val="es-ES" w:eastAsia="zh-CN"/>
    </w:rPr>
  </w:style>
  <w:style w:type="paragraph" w:customStyle="1" w:styleId="Heading">
    <w:name w:val="Heading"/>
    <w:basedOn w:val="Standard"/>
    <w:next w:val="Textbody"/>
    <w:pPr>
      <w:spacing w:before="240" w:after="60"/>
      <w:jc w:val="center"/>
    </w:pPr>
    <w:rPr>
      <w:rFonts w:ascii="Arial" w:hAnsi="Arial" w:cs="Arial"/>
      <w:b/>
      <w:sz w:val="32"/>
    </w:rPr>
  </w:style>
  <w:style w:type="paragraph" w:customStyle="1" w:styleId="Textbody">
    <w:name w:val="Text body"/>
    <w:basedOn w:val="Standard"/>
    <w:pPr>
      <w:tabs>
        <w:tab w:val="left" w:pos="-720"/>
      </w:tabs>
      <w:jc w:val="both"/>
    </w:pPr>
    <w:rPr>
      <w:rFonts w:ascii="Arial" w:hAnsi="Arial" w:cs="Arial"/>
      <w:spacing w:val="-3"/>
      <w:sz w:val="28"/>
    </w:rPr>
  </w:style>
  <w:style w:type="paragraph" w:styleId="Lista">
    <w:name w:val="List"/>
    <w:basedOn w:val="Standard"/>
    <w:pPr>
      <w:ind w:left="283" w:hanging="283"/>
    </w:pPr>
    <w:rPr>
      <w:rFonts w:ascii="Times New Roman" w:hAnsi="Times New Roman" w:cs="Times New Roman"/>
      <w:lang w:val="es-CO"/>
    </w:rPr>
  </w:style>
  <w:style w:type="paragraph" w:styleId="Descripcin">
    <w:name w:val="caption"/>
    <w:basedOn w:val="Standard"/>
    <w:pPr>
      <w:suppressLineNumbers/>
      <w:spacing w:before="120" w:after="120"/>
    </w:pPr>
    <w:rPr>
      <w:rFonts w:cs="Lohit Devanagari"/>
      <w:i/>
      <w:iCs/>
      <w:szCs w:val="24"/>
    </w:rPr>
  </w:style>
  <w:style w:type="paragraph" w:customStyle="1" w:styleId="Index">
    <w:name w:val="Index"/>
    <w:basedOn w:val="Standard"/>
    <w:pPr>
      <w:suppressLineNumbers/>
    </w:pPr>
    <w:rPr>
      <w:rFonts w:cs="Lohit Devanagari"/>
    </w:rPr>
  </w:style>
  <w:style w:type="paragraph" w:customStyle="1" w:styleId="Contents1">
    <w:name w:val="Contents 1"/>
    <w:basedOn w:val="Standard"/>
    <w:next w:val="Standard"/>
    <w:pPr>
      <w:tabs>
        <w:tab w:val="left" w:leader="dot" w:pos="9720"/>
        <w:tab w:val="right" w:pos="10080"/>
      </w:tabs>
      <w:spacing w:before="480"/>
      <w:ind w:left="720" w:right="720" w:hanging="720"/>
    </w:pPr>
    <w:rPr>
      <w:lang w:val="en-US"/>
    </w:rPr>
  </w:style>
  <w:style w:type="paragraph" w:customStyle="1" w:styleId="Contents2">
    <w:name w:val="Contents 2"/>
    <w:basedOn w:val="Standard"/>
    <w:next w:val="Standard"/>
    <w:pPr>
      <w:tabs>
        <w:tab w:val="left" w:leader="dot" w:pos="10440"/>
        <w:tab w:val="right" w:pos="10800"/>
      </w:tabs>
      <w:ind w:left="1440" w:right="720" w:hanging="720"/>
    </w:pPr>
    <w:rPr>
      <w:lang w:val="en-US"/>
    </w:rPr>
  </w:style>
  <w:style w:type="paragraph" w:customStyle="1" w:styleId="Contents3">
    <w:name w:val="Contents 3"/>
    <w:basedOn w:val="Standard"/>
    <w:next w:val="Standard"/>
    <w:pPr>
      <w:tabs>
        <w:tab w:val="left" w:leader="dot" w:pos="11160"/>
        <w:tab w:val="right" w:pos="11520"/>
      </w:tabs>
      <w:ind w:left="2160" w:right="720" w:hanging="720"/>
    </w:pPr>
    <w:rPr>
      <w:lang w:val="en-US"/>
    </w:rPr>
  </w:style>
  <w:style w:type="paragraph" w:customStyle="1" w:styleId="Contents4">
    <w:name w:val="Contents 4"/>
    <w:basedOn w:val="Standard"/>
    <w:next w:val="Standard"/>
    <w:pPr>
      <w:tabs>
        <w:tab w:val="left" w:leader="dot" w:pos="11880"/>
        <w:tab w:val="right" w:pos="12240"/>
      </w:tabs>
      <w:ind w:left="2880" w:right="720" w:hanging="720"/>
    </w:pPr>
    <w:rPr>
      <w:lang w:val="en-US"/>
    </w:rPr>
  </w:style>
  <w:style w:type="paragraph" w:customStyle="1" w:styleId="Contents5">
    <w:name w:val="Contents 5"/>
    <w:basedOn w:val="Standard"/>
    <w:next w:val="Standard"/>
    <w:pPr>
      <w:tabs>
        <w:tab w:val="left" w:leader="dot" w:pos="12600"/>
        <w:tab w:val="right" w:pos="12960"/>
      </w:tabs>
      <w:ind w:left="3600" w:right="720" w:hanging="720"/>
    </w:pPr>
    <w:rPr>
      <w:lang w:val="en-US"/>
    </w:rPr>
  </w:style>
  <w:style w:type="paragraph" w:customStyle="1" w:styleId="Contents6">
    <w:name w:val="Contents 6"/>
    <w:basedOn w:val="Standard"/>
    <w:next w:val="Standard"/>
    <w:pPr>
      <w:tabs>
        <w:tab w:val="left" w:pos="9720"/>
        <w:tab w:val="right" w:pos="10080"/>
      </w:tabs>
      <w:ind w:left="720" w:hanging="720"/>
    </w:pPr>
    <w:rPr>
      <w:lang w:val="en-US"/>
    </w:rPr>
  </w:style>
  <w:style w:type="paragraph" w:customStyle="1" w:styleId="Contents7">
    <w:name w:val="Contents 7"/>
    <w:basedOn w:val="Standard"/>
    <w:next w:val="Standard"/>
    <w:pPr>
      <w:ind w:left="720" w:hanging="720"/>
    </w:pPr>
    <w:rPr>
      <w:lang w:val="en-US"/>
    </w:rPr>
  </w:style>
  <w:style w:type="paragraph" w:customStyle="1" w:styleId="Contents8">
    <w:name w:val="Contents 8"/>
    <w:basedOn w:val="Standard"/>
    <w:next w:val="Standard"/>
    <w:pPr>
      <w:tabs>
        <w:tab w:val="left" w:pos="9720"/>
        <w:tab w:val="right" w:pos="10080"/>
      </w:tabs>
      <w:ind w:left="720" w:hanging="720"/>
    </w:pPr>
    <w:rPr>
      <w:lang w:val="en-US"/>
    </w:rPr>
  </w:style>
  <w:style w:type="paragraph" w:customStyle="1" w:styleId="Contents9">
    <w:name w:val="Contents 9"/>
    <w:basedOn w:val="Standard"/>
    <w:next w:val="Standard"/>
    <w:pPr>
      <w:tabs>
        <w:tab w:val="left" w:leader="dot" w:pos="9720"/>
        <w:tab w:val="right" w:pos="10080"/>
      </w:tabs>
      <w:ind w:left="720" w:hanging="720"/>
    </w:pPr>
    <w:rPr>
      <w:lang w:val="en-US"/>
    </w:rPr>
  </w:style>
  <w:style w:type="paragraph" w:customStyle="1" w:styleId="ndice1">
    <w:name w:val="índice 1"/>
    <w:basedOn w:val="Standard"/>
    <w:pPr>
      <w:tabs>
        <w:tab w:val="left" w:leader="dot" w:pos="10440"/>
        <w:tab w:val="right" w:pos="10800"/>
      </w:tabs>
      <w:ind w:left="1440" w:right="720" w:hanging="1440"/>
    </w:pPr>
    <w:rPr>
      <w:lang w:val="en-US"/>
    </w:rPr>
  </w:style>
  <w:style w:type="paragraph" w:customStyle="1" w:styleId="ndice2">
    <w:name w:val="índice 2"/>
    <w:basedOn w:val="Standard"/>
    <w:pPr>
      <w:tabs>
        <w:tab w:val="left" w:leader="dot" w:pos="10440"/>
        <w:tab w:val="right" w:pos="10800"/>
      </w:tabs>
      <w:ind w:left="1440" w:right="720" w:hanging="720"/>
    </w:pPr>
    <w:rPr>
      <w:lang w:val="en-US"/>
    </w:rPr>
  </w:style>
  <w:style w:type="paragraph" w:customStyle="1" w:styleId="toa">
    <w:name w:val="toa"/>
    <w:basedOn w:val="Standard"/>
    <w:pPr>
      <w:tabs>
        <w:tab w:val="left" w:pos="9000"/>
        <w:tab w:val="right" w:pos="9360"/>
      </w:tabs>
    </w:pPr>
    <w:rPr>
      <w:lang w:val="en-US"/>
    </w:rPr>
  </w:style>
  <w:style w:type="paragraph" w:customStyle="1" w:styleId="epgrafe">
    <w:name w:val="epígrafe"/>
    <w:basedOn w:val="Standard"/>
  </w:style>
  <w:style w:type="paragraph" w:styleId="ndice10">
    <w:name w:val="index 1"/>
    <w:basedOn w:val="Standard"/>
    <w:next w:val="Standard"/>
    <w:pPr>
      <w:tabs>
        <w:tab w:val="right" w:pos="4867"/>
      </w:tabs>
      <w:ind w:left="240" w:hanging="240"/>
    </w:pPr>
    <w:rPr>
      <w:rFonts w:ascii="Times New Roman" w:hAnsi="Times New Roman" w:cs="Times New Roman"/>
      <w:sz w:val="18"/>
    </w:rPr>
  </w:style>
  <w:style w:type="paragraph" w:styleId="ndice20">
    <w:name w:val="index 2"/>
    <w:basedOn w:val="Standard"/>
    <w:next w:val="Standard"/>
    <w:pPr>
      <w:tabs>
        <w:tab w:val="right" w:pos="5107"/>
      </w:tabs>
      <w:ind w:left="480" w:hanging="240"/>
    </w:pPr>
    <w:rPr>
      <w:rFonts w:ascii="Times New Roman" w:hAnsi="Times New Roman" w:cs="Times New Roman"/>
      <w:sz w:val="18"/>
    </w:rPr>
  </w:style>
  <w:style w:type="paragraph" w:styleId="ndice3">
    <w:name w:val="index 3"/>
    <w:basedOn w:val="Standard"/>
    <w:next w:val="Standard"/>
    <w:pPr>
      <w:tabs>
        <w:tab w:val="right" w:pos="5347"/>
      </w:tabs>
      <w:ind w:left="720" w:hanging="240"/>
    </w:pPr>
    <w:rPr>
      <w:rFonts w:ascii="Times New Roman" w:hAnsi="Times New Roman" w:cs="Times New Roman"/>
      <w:sz w:val="18"/>
    </w:rPr>
  </w:style>
  <w:style w:type="paragraph" w:styleId="ndice4">
    <w:name w:val="index 4"/>
    <w:basedOn w:val="Standard"/>
    <w:next w:val="Standard"/>
    <w:pPr>
      <w:tabs>
        <w:tab w:val="right" w:pos="5587"/>
      </w:tabs>
      <w:ind w:left="960" w:hanging="240"/>
    </w:pPr>
    <w:rPr>
      <w:rFonts w:ascii="Times New Roman" w:hAnsi="Times New Roman" w:cs="Times New Roman"/>
      <w:sz w:val="18"/>
    </w:rPr>
  </w:style>
  <w:style w:type="paragraph" w:styleId="ndice5">
    <w:name w:val="index 5"/>
    <w:basedOn w:val="Standard"/>
    <w:next w:val="Standard"/>
    <w:pPr>
      <w:tabs>
        <w:tab w:val="right" w:pos="5827"/>
      </w:tabs>
      <w:ind w:left="1200" w:hanging="240"/>
    </w:pPr>
    <w:rPr>
      <w:rFonts w:ascii="Times New Roman" w:hAnsi="Times New Roman" w:cs="Times New Roman"/>
      <w:sz w:val="18"/>
    </w:rPr>
  </w:style>
  <w:style w:type="paragraph" w:styleId="ndice6">
    <w:name w:val="index 6"/>
    <w:basedOn w:val="Standard"/>
    <w:next w:val="Standard"/>
    <w:pPr>
      <w:tabs>
        <w:tab w:val="right" w:pos="6067"/>
      </w:tabs>
      <w:ind w:left="1440" w:hanging="240"/>
    </w:pPr>
    <w:rPr>
      <w:rFonts w:ascii="Times New Roman" w:hAnsi="Times New Roman" w:cs="Times New Roman"/>
      <w:sz w:val="18"/>
    </w:rPr>
  </w:style>
  <w:style w:type="paragraph" w:styleId="ndice7">
    <w:name w:val="index 7"/>
    <w:basedOn w:val="Standard"/>
    <w:next w:val="Standard"/>
    <w:pPr>
      <w:tabs>
        <w:tab w:val="right" w:pos="6307"/>
      </w:tabs>
      <w:ind w:left="1680" w:hanging="240"/>
    </w:pPr>
    <w:rPr>
      <w:rFonts w:ascii="Times New Roman" w:hAnsi="Times New Roman" w:cs="Times New Roman"/>
      <w:sz w:val="18"/>
    </w:rPr>
  </w:style>
  <w:style w:type="paragraph" w:styleId="ndice8">
    <w:name w:val="index 8"/>
    <w:basedOn w:val="Standard"/>
    <w:next w:val="Standard"/>
    <w:pPr>
      <w:tabs>
        <w:tab w:val="right" w:pos="6547"/>
      </w:tabs>
      <w:ind w:left="1920" w:hanging="240"/>
    </w:pPr>
    <w:rPr>
      <w:rFonts w:ascii="Times New Roman" w:hAnsi="Times New Roman" w:cs="Times New Roman"/>
      <w:sz w:val="18"/>
    </w:rPr>
  </w:style>
  <w:style w:type="paragraph" w:styleId="ndice9">
    <w:name w:val="index 9"/>
    <w:basedOn w:val="Standard"/>
    <w:next w:val="Standard"/>
    <w:pPr>
      <w:tabs>
        <w:tab w:val="right" w:pos="6787"/>
      </w:tabs>
      <w:ind w:left="2160" w:hanging="240"/>
    </w:pPr>
    <w:rPr>
      <w:rFonts w:ascii="Times New Roman" w:hAnsi="Times New Roman" w:cs="Times New Roman"/>
      <w:sz w:val="18"/>
    </w:rPr>
  </w:style>
  <w:style w:type="paragraph" w:styleId="Ttulodendice">
    <w:name w:val="index heading"/>
    <w:basedOn w:val="Standard"/>
    <w:next w:val="ndice10"/>
    <w:pPr>
      <w:spacing w:before="240" w:after="120"/>
      <w:jc w:val="center"/>
    </w:pPr>
    <w:rPr>
      <w:rFonts w:ascii="Times New Roman" w:hAnsi="Times New Roman" w:cs="Times New Roman"/>
      <w:b/>
      <w:sz w:val="26"/>
    </w:rPr>
  </w:style>
  <w:style w:type="paragraph" w:styleId="Encabezado">
    <w:name w:val="header"/>
    <w:basedOn w:val="Standard"/>
    <w:pPr>
      <w:suppressLineNumbers/>
      <w:tabs>
        <w:tab w:val="center" w:pos="4986"/>
        <w:tab w:val="right" w:pos="9972"/>
      </w:tabs>
    </w:pPr>
  </w:style>
  <w:style w:type="character" w:customStyle="1" w:styleId="EncabezadoCar">
    <w:name w:val="Encabezado Car"/>
    <w:rPr>
      <w:rFonts w:cs="Mangal"/>
      <w:sz w:val="21"/>
      <w:szCs w:val="21"/>
    </w:rPr>
  </w:style>
  <w:style w:type="paragraph" w:styleId="Piedepgina">
    <w:name w:val="footer"/>
    <w:basedOn w:val="Normal"/>
    <w:pPr>
      <w:tabs>
        <w:tab w:val="center" w:pos="4419"/>
        <w:tab w:val="right" w:pos="8838"/>
      </w:tabs>
    </w:pPr>
    <w:rPr>
      <w:rFonts w:cs="Mangal"/>
      <w:szCs w:val="21"/>
    </w:rPr>
  </w:style>
  <w:style w:type="character" w:customStyle="1" w:styleId="PiedepginaCar">
    <w:name w:val="Pie de página Car"/>
    <w:rPr>
      <w:rFonts w:cs="Mangal"/>
      <w:sz w:val="21"/>
      <w:szCs w:val="21"/>
    </w:rPr>
  </w:style>
  <w:style w:type="paragraph" w:customStyle="1" w:styleId="Textbodyindent">
    <w:name w:val="Text body indent"/>
    <w:basedOn w:val="Standard"/>
    <w:pPr>
      <w:tabs>
        <w:tab w:val="left" w:pos="4383"/>
        <w:tab w:val="left" w:pos="10206"/>
      </w:tabs>
      <w:ind w:left="5103" w:hanging="5103"/>
      <w:jc w:val="both"/>
    </w:pPr>
    <w:rPr>
      <w:rFonts w:ascii="Arial" w:hAnsi="Arial" w:cs="Arial"/>
      <w:spacing w:val="-3"/>
      <w:sz w:val="28"/>
    </w:rPr>
  </w:style>
  <w:style w:type="paragraph" w:styleId="Textoindependiente2">
    <w:name w:val="Body Text 2"/>
    <w:basedOn w:val="Standard"/>
    <w:pPr>
      <w:tabs>
        <w:tab w:val="left" w:pos="-720"/>
      </w:tabs>
      <w:ind w:right="851"/>
      <w:jc w:val="both"/>
    </w:pPr>
    <w:rPr>
      <w:rFonts w:ascii="Arial" w:hAnsi="Arial" w:cs="Arial"/>
      <w:spacing w:val="-3"/>
      <w:sz w:val="28"/>
    </w:rPr>
  </w:style>
  <w:style w:type="character" w:customStyle="1" w:styleId="Textoindependiente2Car">
    <w:name w:val="Texto independiente 2 Car"/>
    <w:rPr>
      <w:rFonts w:cs="Mangal"/>
      <w:sz w:val="21"/>
      <w:szCs w:val="21"/>
      <w:lang w:bidi="hi-IN"/>
    </w:rPr>
  </w:style>
  <w:style w:type="paragraph" w:styleId="Textoindependiente3">
    <w:name w:val="Body Text 3"/>
    <w:basedOn w:val="Standard"/>
    <w:rPr>
      <w:rFonts w:ascii="Arial" w:hAnsi="Arial" w:cs="Arial"/>
      <w:sz w:val="28"/>
    </w:rPr>
  </w:style>
  <w:style w:type="character" w:customStyle="1" w:styleId="Textoindependiente3Car">
    <w:name w:val="Texto independiente 3 Car"/>
    <w:rPr>
      <w:rFonts w:cs="Mangal"/>
      <w:sz w:val="14"/>
      <w:szCs w:val="14"/>
      <w:lang w:bidi="hi-IN"/>
    </w:rPr>
  </w:style>
  <w:style w:type="paragraph" w:styleId="Textodebloque">
    <w:name w:val="Block Text"/>
    <w:basedOn w:val="Standard"/>
    <w:pPr>
      <w:ind w:left="851" w:right="851"/>
      <w:jc w:val="both"/>
    </w:pPr>
    <w:rPr>
      <w:rFonts w:ascii="Bookman Old Style" w:hAnsi="Bookman Old Style" w:cs="Bookman Old Style"/>
      <w:sz w:val="22"/>
    </w:rPr>
  </w:style>
  <w:style w:type="paragraph" w:customStyle="1" w:styleId="Documento1">
    <w:name w:val="Documento 1"/>
    <w:pPr>
      <w:keepNext/>
      <w:keepLines/>
      <w:tabs>
        <w:tab w:val="left" w:pos="-720"/>
      </w:tabs>
      <w:suppressAutoHyphens/>
    </w:pPr>
    <w:rPr>
      <w:rFonts w:ascii="Courier" w:hAnsi="Courier" w:cs="Courier"/>
      <w:kern w:val="3"/>
      <w:sz w:val="24"/>
      <w:lang w:val="en-US" w:eastAsia="zh-CN"/>
    </w:rPr>
  </w:style>
  <w:style w:type="paragraph" w:styleId="Textocomentario">
    <w:name w:val="annotation text"/>
    <w:basedOn w:val="Standard"/>
    <w:rPr>
      <w:rFonts w:ascii="Arial" w:hAnsi="Arial" w:cs="Arial"/>
      <w:sz w:val="20"/>
    </w:rPr>
  </w:style>
  <w:style w:type="character" w:customStyle="1" w:styleId="TextocomentarioCar">
    <w:name w:val="Texto comentario Car"/>
    <w:rPr>
      <w:rFonts w:ascii="Arial" w:hAnsi="Arial" w:cs="Arial"/>
      <w:sz w:val="20"/>
      <w:szCs w:val="20"/>
      <w:lang w:bidi="ar-SA"/>
    </w:rPr>
  </w:style>
  <w:style w:type="paragraph" w:customStyle="1" w:styleId="TITULODOS">
    <w:name w:val="TITULO DOS"/>
    <w:basedOn w:val="Ttulo1"/>
    <w:pPr>
      <w:tabs>
        <w:tab w:val="clear" w:pos="4395"/>
        <w:tab w:val="left" w:pos="567"/>
      </w:tabs>
      <w:jc w:val="both"/>
    </w:pPr>
    <w:rPr>
      <w:bCs/>
      <w:spacing w:val="0"/>
      <w:sz w:val="24"/>
      <w:szCs w:val="24"/>
    </w:rPr>
  </w:style>
  <w:style w:type="paragraph" w:customStyle="1" w:styleId="titulotres">
    <w:name w:val="titulo tres"/>
    <w:basedOn w:val="Ttulo1"/>
    <w:pPr>
      <w:widowControl w:val="0"/>
      <w:numPr>
        <w:numId w:val="12"/>
      </w:numPr>
      <w:tabs>
        <w:tab w:val="clear" w:pos="4395"/>
      </w:tabs>
      <w:jc w:val="both"/>
    </w:pPr>
    <w:rPr>
      <w:bCs/>
      <w:spacing w:val="0"/>
      <w:kern w:val="0"/>
      <w:sz w:val="24"/>
      <w:szCs w:val="22"/>
      <w:lang w:val="es-CO" w:eastAsia="es-CO" w:bidi="hi-IN"/>
    </w:rPr>
  </w:style>
  <w:style w:type="paragraph" w:customStyle="1" w:styleId="BodyText23">
    <w:name w:val="Body Text 23"/>
    <w:basedOn w:val="Standard"/>
    <w:pPr>
      <w:widowControl w:val="0"/>
      <w:jc w:val="both"/>
    </w:pPr>
    <w:rPr>
      <w:rFonts w:ascii="Arial" w:hAnsi="Arial" w:cs="Arial"/>
      <w:b/>
    </w:rPr>
  </w:style>
  <w:style w:type="paragraph" w:customStyle="1" w:styleId="Car">
    <w:name w:val="Car"/>
    <w:basedOn w:val="Standard"/>
    <w:pPr>
      <w:spacing w:after="160" w:line="240" w:lineRule="exact"/>
    </w:pPr>
    <w:rPr>
      <w:rFonts w:ascii="Tahoma" w:hAnsi="Tahoma" w:cs="Tahoma"/>
      <w:sz w:val="20"/>
      <w:lang w:val="en-US"/>
    </w:rPr>
  </w:style>
  <w:style w:type="paragraph" w:styleId="NormalWeb">
    <w:name w:val="Normal (Web)"/>
    <w:basedOn w:val="Standard"/>
    <w:pPr>
      <w:spacing w:before="100" w:after="100"/>
    </w:pPr>
    <w:rPr>
      <w:rFonts w:ascii="Times New Roman" w:hAnsi="Times New Roman" w:cs="Times New Roman"/>
      <w:szCs w:val="24"/>
      <w:lang w:val="es-CO"/>
    </w:rPr>
  </w:style>
  <w:style w:type="paragraph" w:styleId="Sinespaciado">
    <w:name w:val="No Spacing"/>
    <w:pPr>
      <w:suppressAutoHyphens/>
    </w:pPr>
    <w:rPr>
      <w:rFonts w:ascii="Courier New" w:hAnsi="Courier New" w:cs="Courier New"/>
      <w:kern w:val="3"/>
      <w:sz w:val="24"/>
      <w:lang w:val="es-ES" w:eastAsia="zh-CN"/>
    </w:rPr>
  </w:style>
  <w:style w:type="paragraph" w:customStyle="1" w:styleId="WW-Default">
    <w:name w:val="WW-Default"/>
    <w:pPr>
      <w:suppressAutoHyphens/>
      <w:autoSpaceDE w:val="0"/>
    </w:pPr>
    <w:rPr>
      <w:rFonts w:ascii="Verdana" w:hAnsi="Verdana" w:cs="Verdana"/>
      <w:color w:val="000000"/>
      <w:kern w:val="3"/>
      <w:sz w:val="24"/>
      <w:szCs w:val="24"/>
      <w:lang w:val="es-ES" w:eastAsia="zh-CN"/>
    </w:rPr>
  </w:style>
  <w:style w:type="paragraph" w:styleId="Prrafodelista">
    <w:name w:val="List Paragraph"/>
    <w:basedOn w:val="Standard"/>
    <w:pPr>
      <w:ind w:left="708"/>
    </w:pPr>
  </w:style>
  <w:style w:type="paragraph" w:customStyle="1" w:styleId="Style1">
    <w:name w:val="Style 1"/>
    <w:pPr>
      <w:widowControl w:val="0"/>
      <w:suppressAutoHyphens/>
      <w:autoSpaceDE w:val="0"/>
    </w:pPr>
    <w:rPr>
      <w:rFonts w:ascii="Times New Roman" w:hAnsi="Times New Roman" w:cs="Times New Roman"/>
      <w:kern w:val="3"/>
      <w:lang w:val="en-US" w:eastAsia="zh-CN"/>
    </w:rPr>
  </w:style>
  <w:style w:type="paragraph" w:customStyle="1" w:styleId="Style2">
    <w:name w:val="Style 2"/>
    <w:pPr>
      <w:widowControl w:val="0"/>
      <w:suppressAutoHyphens/>
      <w:autoSpaceDE w:val="0"/>
      <w:spacing w:before="144" w:line="312" w:lineRule="auto"/>
    </w:pPr>
    <w:rPr>
      <w:rFonts w:ascii="Bookman Old Style" w:hAnsi="Bookman Old Style" w:cs="Bookman Old Style"/>
      <w:kern w:val="3"/>
      <w:sz w:val="22"/>
      <w:szCs w:val="22"/>
      <w:lang w:val="en-US" w:eastAsia="zh-CN"/>
    </w:rPr>
  </w:style>
  <w:style w:type="paragraph" w:customStyle="1" w:styleId="Style3">
    <w:name w:val="Style 3"/>
    <w:pPr>
      <w:widowControl w:val="0"/>
      <w:suppressAutoHyphens/>
      <w:autoSpaceDE w:val="0"/>
      <w:ind w:left="360"/>
    </w:pPr>
    <w:rPr>
      <w:rFonts w:ascii="Times New Roman" w:hAnsi="Times New Roman" w:cs="Times New Roman"/>
      <w:kern w:val="3"/>
      <w:sz w:val="26"/>
      <w:szCs w:val="26"/>
      <w:lang w:val="en-US" w:eastAsia="zh-CN"/>
    </w:rPr>
  </w:style>
  <w:style w:type="paragraph" w:customStyle="1" w:styleId="Style7">
    <w:name w:val="Style 7"/>
    <w:pPr>
      <w:widowControl w:val="0"/>
      <w:suppressAutoHyphens/>
      <w:autoSpaceDE w:val="0"/>
    </w:pPr>
    <w:rPr>
      <w:rFonts w:ascii="Times New Roman" w:hAnsi="Times New Roman" w:cs="Times New Roman"/>
      <w:kern w:val="3"/>
      <w:lang w:val="en-US" w:eastAsia="zh-CN"/>
    </w:rPr>
  </w:style>
  <w:style w:type="paragraph" w:customStyle="1" w:styleId="Style8">
    <w:name w:val="Style 8"/>
    <w:pPr>
      <w:widowControl w:val="0"/>
      <w:suppressAutoHyphens/>
      <w:autoSpaceDE w:val="0"/>
      <w:ind w:left="936" w:hanging="504"/>
    </w:pPr>
    <w:rPr>
      <w:rFonts w:ascii="Arial" w:hAnsi="Arial" w:cs="Arial"/>
      <w:kern w:val="3"/>
      <w:sz w:val="24"/>
      <w:szCs w:val="24"/>
      <w:lang w:val="en-US" w:eastAsia="zh-CN"/>
    </w:rPr>
  </w:style>
  <w:style w:type="paragraph" w:customStyle="1" w:styleId="Style6">
    <w:name w:val="Style 6"/>
    <w:pPr>
      <w:widowControl w:val="0"/>
      <w:suppressAutoHyphens/>
      <w:autoSpaceDE w:val="0"/>
      <w:spacing w:line="204" w:lineRule="auto"/>
      <w:ind w:left="288"/>
    </w:pPr>
    <w:rPr>
      <w:rFonts w:ascii="Arial" w:hAnsi="Arial" w:cs="Arial"/>
      <w:kern w:val="3"/>
      <w:sz w:val="24"/>
      <w:szCs w:val="24"/>
      <w:lang w:val="en-US" w:eastAsia="zh-CN"/>
    </w:rPr>
  </w:style>
  <w:style w:type="paragraph" w:styleId="Textodeglobo">
    <w:name w:val="Balloon Text"/>
    <w:basedOn w:val="Normal"/>
    <w:rPr>
      <w:rFonts w:ascii="Tahoma" w:hAnsi="Tahoma" w:cs="Mangal"/>
      <w:sz w:val="16"/>
      <w:szCs w:val="14"/>
    </w:rPr>
  </w:style>
  <w:style w:type="character" w:customStyle="1" w:styleId="TextodegloboCar">
    <w:name w:val="Texto de globo Car"/>
    <w:rPr>
      <w:rFonts w:ascii="Tahoma" w:hAnsi="Tahoma" w:cs="Mangal"/>
      <w:sz w:val="14"/>
      <w:szCs w:val="14"/>
    </w:rPr>
  </w:style>
  <w:style w:type="character" w:customStyle="1" w:styleId="WW8Num1z0">
    <w:name w:val="WW8Num1z0"/>
    <w:rPr>
      <w:rFonts w:ascii="Arial" w:hAnsi="Arial"/>
      <w:spacing w:val="6"/>
      <w:sz w:val="22"/>
    </w:rPr>
  </w:style>
  <w:style w:type="character" w:customStyle="1" w:styleId="WW8Num2z0">
    <w:name w:val="WW8Num2z0"/>
    <w:rPr>
      <w:rFonts w:ascii="Arial" w:hAnsi="Arial"/>
      <w:sz w:val="24"/>
    </w:rPr>
  </w:style>
  <w:style w:type="character" w:customStyle="1" w:styleId="WW8Num5z0">
    <w:name w:val="WW8Num5z0"/>
  </w:style>
  <w:style w:type="character" w:customStyle="1" w:styleId="WW8Num8z0">
    <w:name w:val="WW8Num8z0"/>
    <w:rPr>
      <w:rFonts w:ascii="Arial" w:hAnsi="Arial"/>
      <w:sz w:val="22"/>
    </w:rPr>
  </w:style>
  <w:style w:type="character" w:customStyle="1" w:styleId="WW8Num9z0">
    <w:name w:val="WW8Num9z0"/>
    <w:rPr>
      <w:rFonts w:ascii="Symbol" w:hAnsi="Symbol"/>
    </w:rPr>
  </w:style>
  <w:style w:type="character" w:customStyle="1" w:styleId="WW8Num9z1">
    <w:name w:val="WW8Num9z1"/>
    <w:rPr>
      <w:rFonts w:ascii="Courier New" w:hAnsi="Courier New"/>
    </w:rPr>
  </w:style>
  <w:style w:type="character" w:customStyle="1" w:styleId="WW8Num9z2">
    <w:name w:val="WW8Num9z2"/>
    <w:rPr>
      <w:rFonts w:ascii="Wingdings" w:hAnsi="Wingdings"/>
    </w:rPr>
  </w:style>
  <w:style w:type="character" w:customStyle="1" w:styleId="WW8Num14z0">
    <w:name w:val="WW8Num14z0"/>
  </w:style>
  <w:style w:type="character" w:customStyle="1" w:styleId="Fuentedeencabezadopredeter">
    <w:name w:val="Fuente de encabezado predeter."/>
  </w:style>
  <w:style w:type="character" w:customStyle="1" w:styleId="EquationCaption">
    <w:name w:val="_Equation Caption"/>
  </w:style>
  <w:style w:type="character" w:styleId="Nmerodepgina">
    <w:name w:val="page number"/>
    <w:rPr>
      <w:rFonts w:cs="Times New Roman"/>
    </w:rPr>
  </w:style>
  <w:style w:type="character" w:customStyle="1" w:styleId="Internetlink">
    <w:name w:val="Internet link"/>
    <w:rPr>
      <w:color w:val="0000FF"/>
      <w:u w:val="single"/>
    </w:rPr>
  </w:style>
  <w:style w:type="character" w:customStyle="1" w:styleId="StrongEmphasis">
    <w:name w:val="Strong Emphasis"/>
    <w:rPr>
      <w:b/>
    </w:rPr>
  </w:style>
  <w:style w:type="character" w:customStyle="1" w:styleId="CharacterStyle1">
    <w:name w:val="Character Style 1"/>
    <w:rPr>
      <w:rFonts w:ascii="Bookman Old Style" w:hAnsi="Bookman Old Style"/>
      <w:sz w:val="22"/>
    </w:rPr>
  </w:style>
  <w:style w:type="character" w:customStyle="1" w:styleId="CharacterStyle2">
    <w:name w:val="Character Style 2"/>
    <w:rPr>
      <w:sz w:val="26"/>
    </w:rPr>
  </w:style>
  <w:style w:type="character" w:styleId="Refdecomentario">
    <w:name w:val="annotation reference"/>
    <w:rPr>
      <w:rFonts w:cs="Times New Roman"/>
      <w:sz w:val="16"/>
      <w:szCs w:val="16"/>
    </w:rPr>
  </w:style>
  <w:style w:type="paragraph" w:styleId="Asuntodelcomentario">
    <w:name w:val="annotation subject"/>
    <w:basedOn w:val="Textocomentario"/>
    <w:next w:val="Textocomentario"/>
    <w:pPr>
      <w:widowControl w:val="0"/>
    </w:pPr>
    <w:rPr>
      <w:rFonts w:ascii="Liberation Serif" w:hAnsi="Liberation Serif" w:cs="Mangal"/>
      <w:b/>
      <w:bCs/>
      <w:szCs w:val="18"/>
      <w:lang w:bidi="hi-IN"/>
    </w:rPr>
  </w:style>
  <w:style w:type="character" w:customStyle="1" w:styleId="AsuntodelcomentarioCar">
    <w:name w:val="Asunto del comentario Car"/>
    <w:rPr>
      <w:rFonts w:ascii="Arial" w:hAnsi="Arial" w:cs="Mangal"/>
      <w:b/>
      <w:bCs/>
      <w:sz w:val="18"/>
      <w:szCs w:val="18"/>
      <w:lang w:bidi="ar-SA"/>
    </w:rPr>
  </w:style>
  <w:style w:type="character" w:customStyle="1" w:styleId="StandardCar">
    <w:name w:val="Standard Car"/>
    <w:rPr>
      <w:rFonts w:ascii="Courier New" w:hAnsi="Courier New" w:cs="Courier New"/>
      <w:sz w:val="20"/>
      <w:szCs w:val="20"/>
      <w:lang w:bidi="ar-SA"/>
    </w:rPr>
  </w:style>
  <w:style w:type="paragraph" w:styleId="HTMLconformatoprevio">
    <w:name w:val="HTML Preformatted"/>
    <w:basedOn w:val="Normal"/>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auto"/>
    </w:pPr>
    <w:rPr>
      <w:rFonts w:ascii="Courier New" w:hAnsi="Courier New" w:cs="Courier New"/>
      <w:kern w:val="0"/>
      <w:sz w:val="20"/>
      <w:szCs w:val="20"/>
      <w:lang w:val="es-CO" w:eastAsia="es-CO" w:bidi="ar-SA"/>
    </w:rPr>
  </w:style>
  <w:style w:type="character" w:customStyle="1" w:styleId="HTMLconformatoprevioCar">
    <w:name w:val="HTML con formato previo Car"/>
    <w:basedOn w:val="Fuentedeprrafopredeter"/>
    <w:rPr>
      <w:rFonts w:ascii="Courier New" w:hAnsi="Courier New" w:cs="Courier New"/>
    </w:rPr>
  </w:style>
  <w:style w:type="paragraph" w:styleId="Revisin">
    <w:name w:val="Revision"/>
    <w:pPr>
      <w:suppressAutoHyphens/>
    </w:pPr>
    <w:rPr>
      <w:rFonts w:cs="Mangal"/>
      <w:kern w:val="3"/>
      <w:sz w:val="24"/>
      <w:szCs w:val="21"/>
      <w:lang w:val="es-ES" w:eastAsia="zh-CN" w:bidi="hi-IN"/>
    </w:rPr>
  </w:style>
  <w:style w:type="paragraph" w:customStyle="1" w:styleId="Estilo1">
    <w:name w:val="Estilo1"/>
    <w:basedOn w:val="Normal"/>
    <w:pPr>
      <w:widowControl/>
    </w:pPr>
    <w:rPr>
      <w:rFonts w:ascii="Arial" w:hAnsi="Arial" w:cs="Arial"/>
      <w:sz w:val="20"/>
      <w:szCs w:val="20"/>
      <w:lang w:bidi="ar-SA"/>
    </w:rPr>
  </w:style>
  <w:style w:type="character" w:styleId="Hipervnculo">
    <w:name w:val="Hyperlink"/>
    <w:basedOn w:val="Fuentedeprrafopredeter"/>
    <w:rPr>
      <w:color w:val="0000FF"/>
      <w:u w:val="single"/>
    </w:rPr>
  </w:style>
  <w:style w:type="paragraph" w:styleId="Textonotaalfinal">
    <w:name w:val="endnote text"/>
    <w:basedOn w:val="Normal"/>
    <w:rPr>
      <w:rFonts w:cs="Mangal"/>
      <w:sz w:val="20"/>
      <w:szCs w:val="18"/>
    </w:rPr>
  </w:style>
  <w:style w:type="character" w:customStyle="1" w:styleId="TextonotaalfinalCar">
    <w:name w:val="Texto nota al final Car"/>
    <w:basedOn w:val="Fuentedeprrafopredeter"/>
    <w:rPr>
      <w:rFonts w:cs="Mangal"/>
      <w:kern w:val="3"/>
      <w:szCs w:val="18"/>
      <w:lang w:val="es-ES" w:eastAsia="zh-CN" w:bidi="hi-IN"/>
    </w:rPr>
  </w:style>
  <w:style w:type="character" w:styleId="Refdenotaalfinal">
    <w:name w:val="endnote reference"/>
    <w:basedOn w:val="Fuentedeprrafopredeter"/>
    <w:rPr>
      <w:position w:val="0"/>
      <w:vertAlign w:val="superscript"/>
    </w:rPr>
  </w:style>
  <w:style w:type="paragraph" w:styleId="Textonotapie">
    <w:name w:val="footnote text"/>
    <w:basedOn w:val="Normal"/>
    <w:rPr>
      <w:rFonts w:cs="Mangal"/>
      <w:sz w:val="20"/>
      <w:szCs w:val="18"/>
    </w:rPr>
  </w:style>
  <w:style w:type="character" w:customStyle="1" w:styleId="TextonotapieCar">
    <w:name w:val="Texto nota pie Car"/>
    <w:basedOn w:val="Fuentedeprrafopredeter"/>
    <w:rPr>
      <w:rFonts w:cs="Mangal"/>
      <w:kern w:val="3"/>
      <w:szCs w:val="18"/>
      <w:lang w:val="es-ES" w:eastAsia="zh-CN" w:bidi="hi-IN"/>
    </w:rPr>
  </w:style>
  <w:style w:type="character" w:styleId="Refdenotaalpie">
    <w:name w:val="footnote reference"/>
    <w:basedOn w:val="Fuentedeprrafopredeter"/>
    <w:rPr>
      <w:position w:val="0"/>
      <w:vertAlign w:val="superscript"/>
    </w:rPr>
  </w:style>
  <w:style w:type="character" w:styleId="Textoennegrita">
    <w:name w:val="Strong"/>
    <w:basedOn w:val="Fuentedeprrafopredeter"/>
    <w:rPr>
      <w:b/>
      <w:bCs/>
    </w:rPr>
  </w:style>
  <w:style w:type="paragraph" w:styleId="Textoindependiente">
    <w:name w:val="Body Text"/>
    <w:basedOn w:val="Normal"/>
    <w:pPr>
      <w:spacing w:after="120"/>
    </w:pPr>
    <w:rPr>
      <w:rFonts w:cs="Mangal"/>
      <w:szCs w:val="21"/>
    </w:rPr>
  </w:style>
  <w:style w:type="character" w:customStyle="1" w:styleId="TextoindependienteCar">
    <w:name w:val="Texto independiente Car"/>
    <w:basedOn w:val="Fuentedeprrafopredeter"/>
    <w:rPr>
      <w:rFonts w:cs="Mangal"/>
      <w:kern w:val="3"/>
      <w:sz w:val="24"/>
      <w:szCs w:val="21"/>
      <w:lang w:val="es-ES" w:eastAsia="zh-CN" w:bidi="hi-IN"/>
    </w:rPr>
  </w:style>
  <w:style w:type="paragraph" w:customStyle="1" w:styleId="Default">
    <w:name w:val="Default"/>
    <w:pPr>
      <w:suppressAutoHyphens/>
      <w:autoSpaceDE w:val="0"/>
      <w:textAlignment w:val="auto"/>
    </w:pPr>
    <w:rPr>
      <w:rFonts w:ascii="Arial" w:hAnsi="Arial" w:cs="Arial"/>
      <w:color w:val="000000"/>
      <w:sz w:val="24"/>
      <w:szCs w:val="24"/>
    </w:rPr>
  </w:style>
  <w:style w:type="paragraph" w:customStyle="1" w:styleId="pa9">
    <w:name w:val="pa9"/>
    <w:basedOn w:val="Normal"/>
    <w:pPr>
      <w:widowControl/>
      <w:spacing w:before="100" w:after="100"/>
      <w:textAlignment w:val="auto"/>
    </w:pPr>
    <w:rPr>
      <w:rFonts w:ascii="Times New Roman" w:hAnsi="Times New Roman" w:cs="Times New Roman"/>
      <w:kern w:val="0"/>
      <w:lang w:val="es-CO" w:eastAsia="es-CO" w:bidi="ar-SA"/>
    </w:rPr>
  </w:style>
  <w:style w:type="numbering" w:customStyle="1" w:styleId="WW8Num2">
    <w:name w:val="WW8Num2"/>
    <w:basedOn w:val="Sinlista"/>
    <w:pPr>
      <w:numPr>
        <w:numId w:val="1"/>
      </w:numPr>
    </w:pPr>
  </w:style>
  <w:style w:type="numbering" w:customStyle="1" w:styleId="WW8Num14">
    <w:name w:val="WW8Num14"/>
    <w:basedOn w:val="Sinlista"/>
    <w:pPr>
      <w:numPr>
        <w:numId w:val="2"/>
      </w:numPr>
    </w:pPr>
  </w:style>
  <w:style w:type="numbering" w:customStyle="1" w:styleId="WW8Num1">
    <w:name w:val="WW8Num1"/>
    <w:basedOn w:val="Sinlista"/>
    <w:pPr>
      <w:numPr>
        <w:numId w:val="3"/>
      </w:numPr>
    </w:pPr>
  </w:style>
  <w:style w:type="numbering" w:customStyle="1" w:styleId="WW8Num10">
    <w:name w:val="WW8Num10"/>
    <w:basedOn w:val="Sinlista"/>
    <w:pPr>
      <w:numPr>
        <w:numId w:val="4"/>
      </w:numPr>
    </w:pPr>
  </w:style>
  <w:style w:type="numbering" w:customStyle="1" w:styleId="WW8Num18">
    <w:name w:val="WW8Num18"/>
    <w:basedOn w:val="Sinlista"/>
    <w:pPr>
      <w:numPr>
        <w:numId w:val="5"/>
      </w:numPr>
    </w:pPr>
  </w:style>
  <w:style w:type="numbering" w:customStyle="1" w:styleId="WW8Num8">
    <w:name w:val="WW8Num8"/>
    <w:basedOn w:val="Sinlista"/>
    <w:pPr>
      <w:numPr>
        <w:numId w:val="6"/>
      </w:numPr>
    </w:pPr>
  </w:style>
  <w:style w:type="numbering" w:customStyle="1" w:styleId="WW8Num3">
    <w:name w:val="WW8Num3"/>
    <w:basedOn w:val="Sinlista"/>
    <w:pPr>
      <w:numPr>
        <w:numId w:val="7"/>
      </w:numPr>
    </w:pPr>
  </w:style>
  <w:style w:type="numbering" w:customStyle="1" w:styleId="WW8Num4">
    <w:name w:val="WW8Num4"/>
    <w:basedOn w:val="Sinlista"/>
    <w:pPr>
      <w:numPr>
        <w:numId w:val="8"/>
      </w:numPr>
    </w:pPr>
  </w:style>
  <w:style w:type="numbering" w:customStyle="1" w:styleId="WW8Num7">
    <w:name w:val="WW8Num7"/>
    <w:basedOn w:val="Sinlista"/>
    <w:pPr>
      <w:numPr>
        <w:numId w:val="9"/>
      </w:numPr>
    </w:pPr>
  </w:style>
  <w:style w:type="numbering" w:customStyle="1" w:styleId="WW8Num5">
    <w:name w:val="WW8Num5"/>
    <w:basedOn w:val="Sinlista"/>
    <w:pPr>
      <w:numPr>
        <w:numId w:val="10"/>
      </w:numPr>
    </w:pPr>
  </w:style>
  <w:style w:type="numbering" w:customStyle="1" w:styleId="WW8Num13">
    <w:name w:val="WW8Num13"/>
    <w:basedOn w:val="Sinlista"/>
    <w:pPr>
      <w:numPr>
        <w:numId w:val="11"/>
      </w:numPr>
    </w:pPr>
  </w:style>
  <w:style w:type="numbering" w:customStyle="1" w:styleId="WW8Num6">
    <w:name w:val="WW8Num6"/>
    <w:basedOn w:val="Sinlista"/>
    <w:pPr>
      <w:numPr>
        <w:numId w:val="12"/>
      </w:numPr>
    </w:pPr>
  </w:style>
  <w:style w:type="numbering" w:customStyle="1" w:styleId="WW8Num12">
    <w:name w:val="WW8Num12"/>
    <w:basedOn w:val="Sinlista"/>
    <w:pPr>
      <w:numPr>
        <w:numId w:val="13"/>
      </w:numPr>
    </w:pPr>
  </w:style>
  <w:style w:type="numbering" w:customStyle="1" w:styleId="WW8Num11">
    <w:name w:val="WW8Num11"/>
    <w:basedOn w:val="Sinlista"/>
    <w:pPr>
      <w:numPr>
        <w:numId w:val="14"/>
      </w:numPr>
    </w:pPr>
  </w:style>
  <w:style w:type="numbering" w:customStyle="1" w:styleId="WW8Num15">
    <w:name w:val="WW8Num15"/>
    <w:basedOn w:val="Sinlista"/>
    <w:pPr>
      <w:numPr>
        <w:numId w:val="15"/>
      </w:numPr>
    </w:pPr>
  </w:style>
  <w:style w:type="numbering" w:customStyle="1" w:styleId="WW8Num16">
    <w:name w:val="WW8Num16"/>
    <w:basedOn w:val="Sinlista"/>
    <w:pPr>
      <w:numPr>
        <w:numId w:val="16"/>
      </w:numPr>
    </w:pPr>
  </w:style>
  <w:style w:type="numbering" w:customStyle="1" w:styleId="WW8Num19">
    <w:name w:val="WW8Num19"/>
    <w:basedOn w:val="Sinlista"/>
    <w:pPr>
      <w:numPr>
        <w:numId w:val="17"/>
      </w:numPr>
    </w:pPr>
  </w:style>
  <w:style w:type="numbering" w:customStyle="1" w:styleId="WW8Num9">
    <w:name w:val="WW8Num9"/>
    <w:basedOn w:val="Sinlista"/>
    <w:pPr>
      <w:numPr>
        <w:numId w:val="18"/>
      </w:numPr>
    </w:pPr>
  </w:style>
  <w:style w:type="numbering" w:customStyle="1" w:styleId="WW8Num17">
    <w:name w:val="WW8Num17"/>
    <w:basedOn w:val="Sinlista"/>
    <w:pPr>
      <w:numPr>
        <w:numId w:val="1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4388</Words>
  <Characters>24138</Characters>
  <Application>Microsoft Office Word</Application>
  <DocSecurity>0</DocSecurity>
  <Lines>201</Lines>
  <Paragraphs>56</Paragraphs>
  <ScaleCrop>false</ScaleCrop>
  <Company/>
  <LinksUpToDate>false</LinksUpToDate>
  <CharactersWithSpaces>28470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SERVI001</dc:title>
  <dc:creator>Ministerio de Transporte</dc:creator>
  <cp:lastModifiedBy>Jaime Silva Rodriguez</cp:lastModifiedBy>
  <cp:revision>2</cp:revision>
  <cp:lastPrinted>2020-04-03T23:17:00Z</cp:lastPrinted>
  <dcterms:created xsi:type="dcterms:W3CDTF">2021-01-16T03:16:00Z</dcterms:created>
  <dcterms:modified xsi:type="dcterms:W3CDTF">2021-01-16T03:16:00Z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