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A39" w:rsidRDefault="00896237">
      <w:pPr>
        <w:pStyle w:val="Standard"/>
        <w:autoSpaceDE w:val="0"/>
        <w:jc w:val="center"/>
      </w:pPr>
      <w:bookmarkStart w:id="0" w:name="_GoBack"/>
      <w:bookmarkEnd w:id="0"/>
      <w:r>
        <w:rPr>
          <w:rFonts w:ascii="Work Sans" w:hAnsi="Work Sans" w:cs="Arial"/>
          <w:b/>
          <w:bCs/>
          <w:sz w:val="20"/>
        </w:rPr>
        <w:t>LA</w:t>
      </w:r>
      <w:r>
        <w:rPr>
          <w:rFonts w:ascii="Work Sans" w:eastAsia="Futura Bk BT" w:hAnsi="Work Sans" w:cs="Futura Bk BT"/>
          <w:b/>
          <w:bCs/>
          <w:sz w:val="20"/>
        </w:rPr>
        <w:t xml:space="preserve"> </w:t>
      </w:r>
      <w:r>
        <w:rPr>
          <w:rFonts w:ascii="Work Sans" w:hAnsi="Work Sans"/>
          <w:b/>
          <w:bCs/>
          <w:sz w:val="20"/>
        </w:rPr>
        <w:t>MINISTRA</w:t>
      </w:r>
      <w:r>
        <w:rPr>
          <w:rFonts w:ascii="Work Sans" w:eastAsia="Futura Bk BT" w:hAnsi="Work Sans" w:cs="Futura Bk BT"/>
          <w:b/>
          <w:bCs/>
          <w:sz w:val="20"/>
        </w:rPr>
        <w:t xml:space="preserve"> </w:t>
      </w:r>
      <w:r>
        <w:rPr>
          <w:rFonts w:ascii="Work Sans" w:hAnsi="Work Sans"/>
          <w:b/>
          <w:bCs/>
          <w:sz w:val="20"/>
        </w:rPr>
        <w:t>DE</w:t>
      </w:r>
      <w:r>
        <w:rPr>
          <w:rFonts w:ascii="Work Sans" w:eastAsia="Futura Bk BT" w:hAnsi="Work Sans" w:cs="Futura Bk BT"/>
          <w:b/>
          <w:bCs/>
          <w:sz w:val="20"/>
        </w:rPr>
        <w:t xml:space="preserve"> </w:t>
      </w:r>
      <w:r>
        <w:rPr>
          <w:rFonts w:ascii="Work Sans" w:hAnsi="Work Sans"/>
          <w:b/>
          <w:bCs/>
          <w:sz w:val="20"/>
        </w:rPr>
        <w:t>TRANSPORTE</w:t>
      </w:r>
    </w:p>
    <w:p w:rsidR="00CA4A39" w:rsidRDefault="00CA4A39">
      <w:pPr>
        <w:pStyle w:val="Standard"/>
        <w:autoSpaceDE w:val="0"/>
        <w:jc w:val="both"/>
        <w:rPr>
          <w:rFonts w:ascii="Work Sans" w:hAnsi="Work Sans" w:cs="Arial"/>
          <w:sz w:val="20"/>
        </w:rPr>
      </w:pPr>
    </w:p>
    <w:p w:rsidR="00CA4A39" w:rsidRDefault="00896237">
      <w:pPr>
        <w:widowControl/>
        <w:jc w:val="center"/>
        <w:textAlignment w:val="auto"/>
        <w:rPr>
          <w:rFonts w:ascii="Work Sans" w:hAnsi="Work Sans"/>
          <w:sz w:val="20"/>
          <w:szCs w:val="20"/>
        </w:rPr>
      </w:pPr>
      <w:r>
        <w:rPr>
          <w:rFonts w:ascii="Work Sans" w:hAnsi="Work Sans"/>
          <w:sz w:val="20"/>
          <w:szCs w:val="20"/>
        </w:rPr>
        <w:t xml:space="preserve">En ejercicio de las facultades legales y en especial las conferidas por el artículo 21 de la Ley 105 de 1993 modificado por el artículo 1 de la Ley 787 de 2002 y el numeral 6.14 del artículo 6 del Decreto 087 </w:t>
      </w:r>
      <w:r>
        <w:rPr>
          <w:rFonts w:ascii="Work Sans" w:hAnsi="Work Sans"/>
          <w:sz w:val="20"/>
          <w:szCs w:val="20"/>
        </w:rPr>
        <w:t>de 2011, y</w:t>
      </w:r>
    </w:p>
    <w:p w:rsidR="00CA4A39" w:rsidRDefault="00CA4A39">
      <w:pPr>
        <w:widowControl/>
        <w:jc w:val="center"/>
        <w:textAlignment w:val="auto"/>
        <w:rPr>
          <w:rFonts w:ascii="Work Sans" w:hAnsi="Work Sans"/>
          <w:sz w:val="20"/>
          <w:szCs w:val="20"/>
        </w:rPr>
      </w:pPr>
    </w:p>
    <w:p w:rsidR="00CA4A39" w:rsidRDefault="00896237">
      <w:pPr>
        <w:pStyle w:val="Standard"/>
        <w:autoSpaceDE w:val="0"/>
        <w:jc w:val="center"/>
        <w:rPr>
          <w:rFonts w:ascii="Work Sans" w:hAnsi="Work Sans" w:cs="Arial"/>
          <w:b/>
          <w:bCs/>
          <w:sz w:val="20"/>
        </w:rPr>
      </w:pPr>
      <w:r>
        <w:rPr>
          <w:rFonts w:ascii="Work Sans" w:hAnsi="Work Sans" w:cs="Arial"/>
          <w:b/>
          <w:bCs/>
          <w:sz w:val="20"/>
        </w:rPr>
        <w:t>CONSIDERANDO:</w:t>
      </w:r>
    </w:p>
    <w:p w:rsidR="00CA4A39" w:rsidRDefault="00CA4A39">
      <w:pPr>
        <w:pStyle w:val="Standard"/>
        <w:autoSpaceDE w:val="0"/>
        <w:jc w:val="center"/>
        <w:rPr>
          <w:rFonts w:ascii="Work Sans" w:hAnsi="Work Sans" w:cs="Arial"/>
          <w:b/>
          <w:bCs/>
          <w:sz w:val="20"/>
        </w:rPr>
      </w:pPr>
    </w:p>
    <w:p w:rsidR="00CA4A39" w:rsidRDefault="00896237">
      <w:pPr>
        <w:widowControl/>
        <w:jc w:val="both"/>
        <w:textAlignment w:val="auto"/>
      </w:pPr>
      <w:r>
        <w:rPr>
          <w:rStyle w:val="Fuentedeprrafopredeter0"/>
          <w:rFonts w:ascii="Work Sans" w:eastAsia="Calibri" w:hAnsi="Work Sans" w:cs="Arial"/>
          <w:kern w:val="0"/>
          <w:sz w:val="20"/>
          <w:szCs w:val="20"/>
          <w:lang w:val="es-CO" w:eastAsia="en-US" w:bidi="ar-SA"/>
        </w:rPr>
        <w:t>Que la Ley 105 de 1993, “</w:t>
      </w:r>
      <w:r>
        <w:rPr>
          <w:rStyle w:val="Fuentedeprrafopredeter0"/>
          <w:rFonts w:ascii="Work Sans" w:eastAsia="Calibri" w:hAnsi="Work Sans" w:cs="Arial"/>
          <w:i/>
          <w:kern w:val="0"/>
          <w:sz w:val="20"/>
          <w:szCs w:val="20"/>
          <w:lang w:val="es-CO" w:eastAsia="en-US" w:bidi="ar-SA"/>
        </w:rPr>
        <w:t>Por la cual se dictan disposiciones básicas sobre el transporte, se redistribuyen competencias y recursos entre la Nación y las Entidades Territoriales, se reglamenta la planeación en el sector transporte</w:t>
      </w:r>
      <w:r>
        <w:rPr>
          <w:rStyle w:val="Fuentedeprrafopredeter0"/>
          <w:rFonts w:ascii="Work Sans" w:eastAsia="Calibri" w:hAnsi="Work Sans" w:cs="Arial"/>
          <w:i/>
          <w:kern w:val="0"/>
          <w:sz w:val="20"/>
          <w:szCs w:val="20"/>
          <w:lang w:val="es-CO" w:eastAsia="en-US" w:bidi="ar-SA"/>
        </w:rPr>
        <w:t xml:space="preserve"> y se dictan otras disposiciones</w:t>
      </w:r>
      <w:r>
        <w:rPr>
          <w:rStyle w:val="Fuentedeprrafopredeter0"/>
          <w:rFonts w:ascii="Work Sans" w:eastAsia="Calibri" w:hAnsi="Work Sans" w:cs="Arial"/>
          <w:kern w:val="0"/>
          <w:sz w:val="20"/>
          <w:szCs w:val="20"/>
          <w:lang w:val="es-CO" w:eastAsia="en-US" w:bidi="ar-SA"/>
        </w:rPr>
        <w:t xml:space="preserve">” en su artículo 21  </w:t>
      </w:r>
      <w:r>
        <w:rPr>
          <w:rFonts w:ascii="Work Sans" w:eastAsia="Times New Roman" w:hAnsi="Work Sans" w:cs="Arial"/>
          <w:kern w:val="0"/>
          <w:sz w:val="21"/>
          <w:szCs w:val="21"/>
          <w:lang w:val="es-CO" w:eastAsia="es-CO" w:bidi="ar-SA"/>
        </w:rPr>
        <w:t>modificado por el artículo 1° de la </w:t>
      </w:r>
      <w:hyperlink r:id="rId7" w:tooltip="Haga clic para abrir TODA la Ley 787 de 2002" w:history="1">
        <w:r>
          <w:rPr>
            <w:rFonts w:ascii="Work Sans" w:eastAsia="Times New Roman" w:hAnsi="Work Sans" w:cs="Arial"/>
            <w:kern w:val="0"/>
            <w:sz w:val="21"/>
            <w:szCs w:val="21"/>
            <w:lang w:val="es-CO" w:eastAsia="es-CO" w:bidi="ar-SA"/>
          </w:rPr>
          <w:t>Ley 787 de 2002</w:t>
        </w:r>
      </w:hyperlink>
      <w:r>
        <w:rPr>
          <w:rFonts w:ascii="Work Sans" w:eastAsia="Times New Roman" w:hAnsi="Work Sans" w:cs="Arial"/>
          <w:kern w:val="0"/>
          <w:sz w:val="21"/>
          <w:szCs w:val="21"/>
          <w:lang w:val="es-CO" w:eastAsia="es-CO" w:bidi="ar-SA"/>
        </w:rPr>
        <w:t>, establece lo siguiente:</w:t>
      </w:r>
    </w:p>
    <w:p w:rsidR="00CA4A39" w:rsidRDefault="00CA4A39">
      <w:pPr>
        <w:widowControl/>
        <w:jc w:val="both"/>
        <w:textAlignment w:val="auto"/>
        <w:rPr>
          <w:rFonts w:ascii="Work Sans" w:eastAsia="Calibri" w:hAnsi="Work Sans" w:cs="Arial"/>
          <w:kern w:val="0"/>
          <w:sz w:val="20"/>
          <w:szCs w:val="20"/>
          <w:lang w:val="es-CO" w:eastAsia="en-US" w:bidi="ar-SA"/>
        </w:rPr>
      </w:pPr>
    </w:p>
    <w:p w:rsidR="00CA4A39" w:rsidRDefault="00896237">
      <w:pPr>
        <w:ind w:left="567" w:right="900"/>
        <w:jc w:val="both"/>
      </w:pPr>
      <w:r>
        <w:rPr>
          <w:rStyle w:val="Fuentedeprrafopredeter0"/>
          <w:rFonts w:ascii="Work Sans" w:eastAsia="Calibri" w:hAnsi="Work Sans" w:cs="Arial"/>
          <w:i/>
          <w:kern w:val="0"/>
          <w:sz w:val="18"/>
          <w:szCs w:val="18"/>
          <w:lang w:val="es-CO" w:eastAsia="en-US" w:bidi="ar-SA"/>
        </w:rPr>
        <w:t>“</w:t>
      </w:r>
      <w:r>
        <w:rPr>
          <w:rFonts w:ascii="Work Sans" w:eastAsia="Times New Roman" w:hAnsi="Work Sans" w:cs="Times New Roman"/>
          <w:i/>
          <w:kern w:val="0"/>
          <w:sz w:val="18"/>
          <w:szCs w:val="18"/>
          <w:lang w:val="es-CO" w:eastAsia="es-CO" w:bidi="ar-SA"/>
        </w:rPr>
        <w:t>ARTICULO 21. </w:t>
      </w:r>
      <w:r>
        <w:rPr>
          <w:rFonts w:ascii="Work Sans" w:eastAsia="Times New Roman" w:hAnsi="Work Sans" w:cs="Times New Roman"/>
          <w:i/>
          <w:iCs/>
          <w:kern w:val="0"/>
          <w:sz w:val="18"/>
          <w:szCs w:val="18"/>
          <w:lang w:val="es-CO" w:eastAsia="es-CO" w:bidi="ar-SA"/>
        </w:rPr>
        <w:t>Tasas, tarifas y peajes en la infraestructura de transporte a cargo de</w:t>
      </w:r>
      <w:r>
        <w:rPr>
          <w:rFonts w:ascii="Work Sans" w:eastAsia="Times New Roman" w:hAnsi="Work Sans" w:cs="Times New Roman"/>
          <w:i/>
          <w:iCs/>
          <w:kern w:val="0"/>
          <w:sz w:val="18"/>
          <w:szCs w:val="18"/>
          <w:lang w:val="es-CO" w:eastAsia="es-CO" w:bidi="ar-SA"/>
        </w:rPr>
        <w:t xml:space="preserve"> la Nación.</w:t>
      </w:r>
      <w:r>
        <w:rPr>
          <w:rFonts w:ascii="Work Sans" w:eastAsia="Times New Roman" w:hAnsi="Work Sans" w:cs="Times New Roman"/>
          <w:i/>
          <w:kern w:val="0"/>
          <w:sz w:val="18"/>
          <w:szCs w:val="18"/>
          <w:lang w:val="es-CO" w:eastAsia="es-CO" w:bidi="ar-SA"/>
        </w:rPr>
        <w:t> Para la construcción y conservación de la infraestructura de transporte a cargo de la Nación, esta contará con los recursos que se apropien en el Presupuesto Nacional y además cobrará el uso de las obras de infraestructura de transporte a los u</w:t>
      </w:r>
      <w:r>
        <w:rPr>
          <w:rFonts w:ascii="Work Sans" w:eastAsia="Times New Roman" w:hAnsi="Work Sans" w:cs="Times New Roman"/>
          <w:i/>
          <w:kern w:val="0"/>
          <w:sz w:val="18"/>
          <w:szCs w:val="18"/>
          <w:lang w:val="es-CO" w:eastAsia="es-CO" w:bidi="ar-SA"/>
        </w:rPr>
        <w:t>suarios, buscando garantizar su adecuado mantenimiento, operación y desarrollo.</w:t>
      </w:r>
    </w:p>
    <w:p w:rsidR="00CA4A39" w:rsidRDefault="00896237">
      <w:pPr>
        <w:widowControl/>
        <w:ind w:left="567" w:right="900"/>
        <w:jc w:val="both"/>
        <w:textAlignment w:val="auto"/>
      </w:pPr>
      <w:r>
        <w:rPr>
          <w:rFonts w:ascii="Work Sans" w:eastAsia="Times New Roman" w:hAnsi="Work Sans" w:cs="Times New Roman"/>
          <w:i/>
          <w:kern w:val="0"/>
          <w:sz w:val="18"/>
          <w:szCs w:val="18"/>
          <w:lang w:val="es-MX" w:eastAsia="es-CO" w:bidi="ar-SA"/>
        </w:rPr>
        <w:t> </w:t>
      </w:r>
    </w:p>
    <w:p w:rsidR="00CA4A39" w:rsidRDefault="00896237">
      <w:pPr>
        <w:widowControl/>
        <w:ind w:left="567" w:right="900"/>
        <w:jc w:val="both"/>
        <w:textAlignment w:val="auto"/>
        <w:rPr>
          <w:rFonts w:ascii="Work Sans" w:eastAsia="Times New Roman" w:hAnsi="Work Sans" w:cs="Times New Roman"/>
          <w:i/>
          <w:kern w:val="0"/>
          <w:sz w:val="18"/>
          <w:szCs w:val="18"/>
          <w:lang w:val="es-CO" w:eastAsia="es-CO" w:bidi="ar-SA"/>
        </w:rPr>
      </w:pPr>
      <w:r>
        <w:rPr>
          <w:rFonts w:ascii="Work Sans" w:eastAsia="Times New Roman" w:hAnsi="Work Sans" w:cs="Times New Roman"/>
          <w:i/>
          <w:kern w:val="0"/>
          <w:sz w:val="18"/>
          <w:szCs w:val="18"/>
          <w:lang w:val="es-CO" w:eastAsia="es-CO" w:bidi="ar-SA"/>
        </w:rPr>
        <w:t xml:space="preserve">Para estos efectos, la Nación establecerá peajes, tarifas y tasas sobre el uso de la infraestructura nacional de transporte y los recursos provenientes de su cobro se </w:t>
      </w:r>
      <w:r>
        <w:rPr>
          <w:rFonts w:ascii="Work Sans" w:eastAsia="Times New Roman" w:hAnsi="Work Sans" w:cs="Times New Roman"/>
          <w:i/>
          <w:kern w:val="0"/>
          <w:sz w:val="18"/>
          <w:szCs w:val="18"/>
          <w:lang w:val="es-CO" w:eastAsia="es-CO" w:bidi="ar-SA"/>
        </w:rPr>
        <w:t>usarán exclusivamente para ese modo de transporte.</w:t>
      </w:r>
    </w:p>
    <w:p w:rsidR="00CA4A39" w:rsidRDefault="00896237">
      <w:pPr>
        <w:widowControl/>
        <w:ind w:left="567" w:right="900"/>
        <w:jc w:val="both"/>
        <w:textAlignment w:val="auto"/>
      </w:pPr>
      <w:r>
        <w:rPr>
          <w:rFonts w:ascii="Work Sans" w:eastAsia="Times New Roman" w:hAnsi="Work Sans" w:cs="Times New Roman"/>
          <w:i/>
          <w:kern w:val="0"/>
          <w:sz w:val="18"/>
          <w:szCs w:val="18"/>
          <w:lang w:val="es-MX" w:eastAsia="es-CO" w:bidi="ar-SA"/>
        </w:rPr>
        <w:t> </w:t>
      </w:r>
    </w:p>
    <w:p w:rsidR="00CA4A39" w:rsidRDefault="00896237">
      <w:pPr>
        <w:widowControl/>
        <w:ind w:left="567" w:right="900"/>
        <w:jc w:val="both"/>
        <w:textAlignment w:val="auto"/>
        <w:rPr>
          <w:rFonts w:ascii="Work Sans" w:eastAsia="Times New Roman" w:hAnsi="Work Sans" w:cs="Times New Roman"/>
          <w:i/>
          <w:kern w:val="0"/>
          <w:sz w:val="18"/>
          <w:szCs w:val="18"/>
          <w:lang w:val="es-CO" w:eastAsia="es-CO" w:bidi="ar-SA"/>
        </w:rPr>
      </w:pPr>
      <w:r>
        <w:rPr>
          <w:rFonts w:ascii="Work Sans" w:eastAsia="Times New Roman" w:hAnsi="Work Sans" w:cs="Times New Roman"/>
          <w:i/>
          <w:kern w:val="0"/>
          <w:sz w:val="18"/>
          <w:szCs w:val="18"/>
          <w:lang w:val="es-CO" w:eastAsia="es-CO" w:bidi="ar-SA"/>
        </w:rPr>
        <w:t>Todos los servicios que la Nación o sus entidades descentralizadas presten a los usuarios accesoriamente a la utilización de la infraestructura Nacional de Transporte, estarán sujetos al cobro de tasas o</w:t>
      </w:r>
      <w:r>
        <w:rPr>
          <w:rFonts w:ascii="Work Sans" w:eastAsia="Times New Roman" w:hAnsi="Work Sans" w:cs="Times New Roman"/>
          <w:i/>
          <w:kern w:val="0"/>
          <w:sz w:val="18"/>
          <w:szCs w:val="18"/>
          <w:lang w:val="es-CO" w:eastAsia="es-CO" w:bidi="ar-SA"/>
        </w:rPr>
        <w:t xml:space="preserve"> tarifas.</w:t>
      </w:r>
    </w:p>
    <w:p w:rsidR="00CA4A39" w:rsidRDefault="00896237">
      <w:pPr>
        <w:widowControl/>
        <w:ind w:left="567" w:right="900"/>
        <w:jc w:val="both"/>
        <w:textAlignment w:val="auto"/>
      </w:pPr>
      <w:r>
        <w:rPr>
          <w:rFonts w:ascii="Work Sans" w:eastAsia="Times New Roman" w:hAnsi="Work Sans" w:cs="Times New Roman"/>
          <w:i/>
          <w:kern w:val="0"/>
          <w:sz w:val="18"/>
          <w:szCs w:val="18"/>
          <w:lang w:val="es-MX" w:eastAsia="es-CO" w:bidi="ar-SA"/>
        </w:rPr>
        <w:t> </w:t>
      </w:r>
    </w:p>
    <w:p w:rsidR="00CA4A39" w:rsidRDefault="00896237">
      <w:pPr>
        <w:widowControl/>
        <w:ind w:left="567" w:right="900"/>
        <w:jc w:val="both"/>
        <w:textAlignment w:val="auto"/>
        <w:rPr>
          <w:rFonts w:ascii="Work Sans" w:eastAsia="Times New Roman" w:hAnsi="Work Sans" w:cs="Times New Roman"/>
          <w:i/>
          <w:kern w:val="0"/>
          <w:sz w:val="18"/>
          <w:szCs w:val="18"/>
          <w:lang w:val="es-CO" w:eastAsia="es-CO" w:bidi="ar-SA"/>
        </w:rPr>
      </w:pPr>
      <w:r>
        <w:rPr>
          <w:rFonts w:ascii="Work Sans" w:eastAsia="Times New Roman" w:hAnsi="Work Sans" w:cs="Times New Roman"/>
          <w:i/>
          <w:kern w:val="0"/>
          <w:sz w:val="18"/>
          <w:szCs w:val="18"/>
          <w:lang w:val="es-CO" w:eastAsia="es-CO" w:bidi="ar-SA"/>
        </w:rPr>
        <w:t>Para la fijación y cobro de tasas, tarifas y peajes, se observarán los siguientes principios:</w:t>
      </w:r>
    </w:p>
    <w:p w:rsidR="00CA4A39" w:rsidRDefault="00896237">
      <w:pPr>
        <w:widowControl/>
        <w:ind w:left="567" w:right="900"/>
        <w:jc w:val="both"/>
        <w:textAlignment w:val="auto"/>
      </w:pPr>
      <w:r>
        <w:rPr>
          <w:rFonts w:ascii="Work Sans" w:eastAsia="Times New Roman" w:hAnsi="Work Sans" w:cs="Times New Roman"/>
          <w:i/>
          <w:kern w:val="0"/>
          <w:sz w:val="18"/>
          <w:szCs w:val="18"/>
          <w:lang w:val="es-MX" w:eastAsia="es-CO" w:bidi="ar-SA"/>
        </w:rPr>
        <w:t> </w:t>
      </w:r>
    </w:p>
    <w:p w:rsidR="00CA4A39" w:rsidRDefault="00896237">
      <w:pPr>
        <w:widowControl/>
        <w:ind w:left="567" w:right="900"/>
        <w:jc w:val="both"/>
        <w:textAlignment w:val="auto"/>
        <w:rPr>
          <w:rFonts w:ascii="Work Sans" w:eastAsia="Times New Roman" w:hAnsi="Work Sans" w:cs="Times New Roman"/>
          <w:i/>
          <w:kern w:val="0"/>
          <w:sz w:val="18"/>
          <w:szCs w:val="18"/>
          <w:lang w:val="es-CO" w:eastAsia="es-CO" w:bidi="ar-SA"/>
        </w:rPr>
      </w:pPr>
      <w:r>
        <w:rPr>
          <w:rFonts w:ascii="Work Sans" w:eastAsia="Times New Roman" w:hAnsi="Work Sans" w:cs="Times New Roman"/>
          <w:i/>
          <w:kern w:val="0"/>
          <w:sz w:val="18"/>
          <w:szCs w:val="18"/>
          <w:lang w:val="es-CO" w:eastAsia="es-CO" w:bidi="ar-SA"/>
        </w:rPr>
        <w:t xml:space="preserve">a) Los ingresos provenientes de la utilización de la infraestructura de transporte, deberán garantizar su adecuado mantenimiento, operación y </w:t>
      </w:r>
      <w:r>
        <w:rPr>
          <w:rFonts w:ascii="Work Sans" w:eastAsia="Times New Roman" w:hAnsi="Work Sans" w:cs="Times New Roman"/>
          <w:i/>
          <w:kern w:val="0"/>
          <w:sz w:val="18"/>
          <w:szCs w:val="18"/>
          <w:lang w:val="es-CO" w:eastAsia="es-CO" w:bidi="ar-SA"/>
        </w:rPr>
        <w:t>desarrollo;</w:t>
      </w:r>
    </w:p>
    <w:p w:rsidR="00CA4A39" w:rsidRDefault="00896237">
      <w:pPr>
        <w:widowControl/>
        <w:ind w:left="567" w:right="900"/>
        <w:jc w:val="both"/>
        <w:textAlignment w:val="auto"/>
      </w:pPr>
      <w:r>
        <w:rPr>
          <w:rFonts w:ascii="Work Sans" w:eastAsia="Times New Roman" w:hAnsi="Work Sans" w:cs="Times New Roman"/>
          <w:i/>
          <w:kern w:val="0"/>
          <w:sz w:val="18"/>
          <w:szCs w:val="18"/>
          <w:lang w:val="es-MX" w:eastAsia="es-CO" w:bidi="ar-SA"/>
        </w:rPr>
        <w:t> </w:t>
      </w:r>
    </w:p>
    <w:p w:rsidR="00CA4A39" w:rsidRDefault="00896237">
      <w:pPr>
        <w:widowControl/>
        <w:ind w:left="567" w:right="900"/>
        <w:jc w:val="both"/>
        <w:textAlignment w:val="auto"/>
        <w:rPr>
          <w:rFonts w:ascii="Work Sans" w:eastAsia="Times New Roman" w:hAnsi="Work Sans" w:cs="Times New Roman"/>
          <w:i/>
          <w:kern w:val="0"/>
          <w:sz w:val="18"/>
          <w:szCs w:val="18"/>
          <w:lang w:val="es-CO" w:eastAsia="es-CO" w:bidi="ar-SA"/>
        </w:rPr>
      </w:pPr>
      <w:r>
        <w:rPr>
          <w:rFonts w:ascii="Work Sans" w:eastAsia="Times New Roman" w:hAnsi="Work Sans" w:cs="Times New Roman"/>
          <w:i/>
          <w:kern w:val="0"/>
          <w:sz w:val="18"/>
          <w:szCs w:val="18"/>
          <w:lang w:val="es-CO" w:eastAsia="es-CO" w:bidi="ar-SA"/>
        </w:rPr>
        <w:t>b) Deberá cobrarse a todos los usuarios, con excepción de las motocicletas y bicicletas, máquinas extintoras de incendios de los Cuerpos de Bomberos Voluntarios, Cuerpo de Bomberos Oficiales, ambulancias pertenecientes a la Cruz Roja, Defensa</w:t>
      </w:r>
      <w:r>
        <w:rPr>
          <w:rFonts w:ascii="Work Sans" w:eastAsia="Times New Roman" w:hAnsi="Work Sans" w:cs="Times New Roman"/>
          <w:i/>
          <w:kern w:val="0"/>
          <w:sz w:val="18"/>
          <w:szCs w:val="18"/>
          <w:lang w:val="es-CO" w:eastAsia="es-CO" w:bidi="ar-SA"/>
        </w:rPr>
        <w:t xml:space="preserve"> Civil, Hospitales Oficiales, Vehículos de las Fuerzas Militares y de la Policía Nacional, vehículos oficiales del Instituto Nacional Penitenciario y Carcelario, Inpec, vehículos oficiales del (DAS) Departamento Administrativo de Seguridad y de las demás i</w:t>
      </w:r>
      <w:r>
        <w:rPr>
          <w:rFonts w:ascii="Work Sans" w:eastAsia="Times New Roman" w:hAnsi="Work Sans" w:cs="Times New Roman"/>
          <w:i/>
          <w:kern w:val="0"/>
          <w:sz w:val="18"/>
          <w:szCs w:val="18"/>
          <w:lang w:val="es-CO" w:eastAsia="es-CO" w:bidi="ar-SA"/>
        </w:rPr>
        <w:t>nstituciones que prestan funciones de Policía Judicial; </w:t>
      </w:r>
    </w:p>
    <w:p w:rsidR="00CA4A39" w:rsidRDefault="00896237">
      <w:pPr>
        <w:widowControl/>
        <w:ind w:left="567" w:right="900"/>
        <w:jc w:val="both"/>
        <w:textAlignment w:val="auto"/>
      </w:pPr>
      <w:r>
        <w:rPr>
          <w:rFonts w:ascii="Work Sans" w:eastAsia="Times New Roman" w:hAnsi="Work Sans" w:cs="Times New Roman"/>
          <w:i/>
          <w:kern w:val="0"/>
          <w:sz w:val="18"/>
          <w:szCs w:val="18"/>
          <w:lang w:val="es-MX" w:eastAsia="es-CO" w:bidi="ar-SA"/>
        </w:rPr>
        <w:t> </w:t>
      </w:r>
    </w:p>
    <w:p w:rsidR="00CA4A39" w:rsidRDefault="00896237">
      <w:pPr>
        <w:widowControl/>
        <w:ind w:left="567" w:right="900"/>
        <w:jc w:val="both"/>
        <w:textAlignment w:val="auto"/>
        <w:rPr>
          <w:rFonts w:ascii="Work Sans" w:eastAsia="Times New Roman" w:hAnsi="Work Sans" w:cs="Times New Roman"/>
          <w:i/>
          <w:kern w:val="0"/>
          <w:sz w:val="18"/>
          <w:szCs w:val="18"/>
          <w:lang w:val="es-CO" w:eastAsia="es-CO" w:bidi="ar-SA"/>
        </w:rPr>
      </w:pPr>
      <w:r>
        <w:rPr>
          <w:rFonts w:ascii="Work Sans" w:eastAsia="Times New Roman" w:hAnsi="Work Sans" w:cs="Times New Roman"/>
          <w:i/>
          <w:kern w:val="0"/>
          <w:sz w:val="18"/>
          <w:szCs w:val="18"/>
          <w:lang w:val="es-CO" w:eastAsia="es-CO" w:bidi="ar-SA"/>
        </w:rPr>
        <w:t>c) El valor de las tasas o tarifas será determinado por la autoridad competente; su recaudo estará a cargo de las entidades públicas o privadas, responsables de la prestación del servicio;</w:t>
      </w:r>
    </w:p>
    <w:p w:rsidR="00CA4A39" w:rsidRDefault="00896237">
      <w:pPr>
        <w:widowControl/>
        <w:ind w:left="567" w:right="900"/>
        <w:jc w:val="both"/>
        <w:textAlignment w:val="auto"/>
      </w:pPr>
      <w:r>
        <w:rPr>
          <w:rFonts w:ascii="Work Sans" w:eastAsia="Times New Roman" w:hAnsi="Work Sans" w:cs="Times New Roman"/>
          <w:i/>
          <w:kern w:val="0"/>
          <w:sz w:val="18"/>
          <w:szCs w:val="18"/>
          <w:lang w:val="es-MX" w:eastAsia="es-CO" w:bidi="ar-SA"/>
        </w:rPr>
        <w:t> </w:t>
      </w:r>
    </w:p>
    <w:p w:rsidR="00CA4A39" w:rsidRDefault="00896237">
      <w:pPr>
        <w:widowControl/>
        <w:ind w:left="567" w:right="900"/>
        <w:jc w:val="both"/>
        <w:textAlignment w:val="auto"/>
        <w:rPr>
          <w:rFonts w:ascii="Work Sans" w:eastAsia="Times New Roman" w:hAnsi="Work Sans" w:cs="Times New Roman"/>
          <w:i/>
          <w:kern w:val="0"/>
          <w:sz w:val="18"/>
          <w:szCs w:val="18"/>
          <w:lang w:val="es-CO" w:eastAsia="es-CO" w:bidi="ar-SA"/>
        </w:rPr>
      </w:pPr>
      <w:r>
        <w:rPr>
          <w:rFonts w:ascii="Work Sans" w:eastAsia="Times New Roman" w:hAnsi="Work Sans" w:cs="Times New Roman"/>
          <w:i/>
          <w:kern w:val="0"/>
          <w:sz w:val="18"/>
          <w:szCs w:val="18"/>
          <w:lang w:val="es-CO" w:eastAsia="es-CO" w:bidi="ar-SA"/>
        </w:rPr>
        <w:t>d) Las</w:t>
      </w:r>
      <w:r>
        <w:rPr>
          <w:rFonts w:ascii="Work Sans" w:eastAsia="Times New Roman" w:hAnsi="Work Sans" w:cs="Times New Roman"/>
          <w:i/>
          <w:kern w:val="0"/>
          <w:sz w:val="18"/>
          <w:szCs w:val="18"/>
          <w:lang w:val="es-CO" w:eastAsia="es-CO" w:bidi="ar-SA"/>
        </w:rPr>
        <w:t xml:space="preserve"> tasas de peaje serán diferenciales, es decir, se fijarán en proporción a las distancias recorridas, las características vehiculares y sus respectivos costos de operación;</w:t>
      </w:r>
    </w:p>
    <w:p w:rsidR="00CA4A39" w:rsidRDefault="00896237">
      <w:pPr>
        <w:widowControl/>
        <w:ind w:left="567" w:right="900"/>
        <w:jc w:val="both"/>
        <w:textAlignment w:val="auto"/>
      </w:pPr>
      <w:r>
        <w:rPr>
          <w:rFonts w:ascii="Work Sans" w:eastAsia="Times New Roman" w:hAnsi="Work Sans" w:cs="Times New Roman"/>
          <w:i/>
          <w:kern w:val="0"/>
          <w:sz w:val="18"/>
          <w:szCs w:val="18"/>
          <w:lang w:val="es-MX" w:eastAsia="es-CO" w:bidi="ar-SA"/>
        </w:rPr>
        <w:t> </w:t>
      </w:r>
    </w:p>
    <w:p w:rsidR="00CA4A39" w:rsidRDefault="00896237">
      <w:pPr>
        <w:widowControl/>
        <w:ind w:left="567" w:right="900"/>
        <w:jc w:val="both"/>
        <w:textAlignment w:val="auto"/>
        <w:rPr>
          <w:rFonts w:ascii="Work Sans" w:eastAsia="Times New Roman" w:hAnsi="Work Sans" w:cs="Times New Roman"/>
          <w:i/>
          <w:kern w:val="0"/>
          <w:sz w:val="18"/>
          <w:szCs w:val="18"/>
          <w:lang w:val="es-CO" w:eastAsia="es-CO" w:bidi="ar-SA"/>
        </w:rPr>
      </w:pPr>
      <w:r>
        <w:rPr>
          <w:rFonts w:ascii="Work Sans" w:eastAsia="Times New Roman" w:hAnsi="Work Sans" w:cs="Times New Roman"/>
          <w:i/>
          <w:kern w:val="0"/>
          <w:sz w:val="18"/>
          <w:szCs w:val="18"/>
          <w:lang w:val="es-CO" w:eastAsia="es-CO" w:bidi="ar-SA"/>
        </w:rPr>
        <w:t>e) Para la determinación del valor del peaje y de las tasas de valoración en las v</w:t>
      </w:r>
      <w:r>
        <w:rPr>
          <w:rFonts w:ascii="Work Sans" w:eastAsia="Times New Roman" w:hAnsi="Work Sans" w:cs="Times New Roman"/>
          <w:i/>
          <w:kern w:val="0"/>
          <w:sz w:val="18"/>
          <w:szCs w:val="18"/>
          <w:lang w:val="es-CO" w:eastAsia="es-CO" w:bidi="ar-SA"/>
        </w:rPr>
        <w:t>ías nacionales, se tendrá en cuenta un criterio de equidad fiscal.</w:t>
      </w:r>
    </w:p>
    <w:p w:rsidR="00CA4A39" w:rsidRDefault="00896237">
      <w:pPr>
        <w:widowControl/>
        <w:ind w:left="567" w:right="900"/>
        <w:jc w:val="both"/>
        <w:textAlignment w:val="auto"/>
      </w:pPr>
      <w:r>
        <w:rPr>
          <w:rFonts w:ascii="Work Sans" w:eastAsia="Times New Roman" w:hAnsi="Work Sans" w:cs="Times New Roman"/>
          <w:i/>
          <w:kern w:val="0"/>
          <w:sz w:val="18"/>
          <w:szCs w:val="18"/>
          <w:lang w:val="es-MX" w:eastAsia="es-CO" w:bidi="ar-SA"/>
        </w:rPr>
        <w:t> </w:t>
      </w:r>
    </w:p>
    <w:p w:rsidR="00CA4A39" w:rsidRDefault="00896237">
      <w:pPr>
        <w:widowControl/>
        <w:ind w:left="567" w:right="900"/>
        <w:jc w:val="both"/>
        <w:textAlignment w:val="auto"/>
        <w:rPr>
          <w:rFonts w:ascii="Work Sans" w:eastAsia="Times New Roman" w:hAnsi="Work Sans" w:cs="Times New Roman"/>
          <w:i/>
          <w:kern w:val="0"/>
          <w:sz w:val="18"/>
          <w:szCs w:val="18"/>
          <w:lang w:val="es-CO" w:eastAsia="es-CO" w:bidi="ar-SA"/>
        </w:rPr>
      </w:pPr>
      <w:r>
        <w:rPr>
          <w:rFonts w:ascii="Work Sans" w:eastAsia="Times New Roman" w:hAnsi="Work Sans" w:cs="Times New Roman"/>
          <w:i/>
          <w:kern w:val="0"/>
          <w:sz w:val="18"/>
          <w:szCs w:val="18"/>
          <w:lang w:val="es-CO" w:eastAsia="es-CO" w:bidi="ar-SA"/>
        </w:rPr>
        <w:lastRenderedPageBreak/>
        <w:t>Parágrafo 1°. La Nación podrá en caso de necesidad y previo concepto del Ministerio de Transporte, apropiar recursos del Presupuesto Nacional para el mantenimiento, operación y desarrollo</w:t>
      </w:r>
      <w:r>
        <w:rPr>
          <w:rFonts w:ascii="Work Sans" w:eastAsia="Times New Roman" w:hAnsi="Work Sans" w:cs="Times New Roman"/>
          <w:i/>
          <w:kern w:val="0"/>
          <w:sz w:val="18"/>
          <w:szCs w:val="18"/>
          <w:lang w:val="es-CO" w:eastAsia="es-CO" w:bidi="ar-SA"/>
        </w:rPr>
        <w:t xml:space="preserve"> de la infraestructura de transporte.</w:t>
      </w:r>
    </w:p>
    <w:p w:rsidR="00CA4A39" w:rsidRDefault="00896237">
      <w:pPr>
        <w:widowControl/>
        <w:ind w:left="567" w:right="900"/>
        <w:jc w:val="both"/>
        <w:textAlignment w:val="auto"/>
      </w:pPr>
      <w:r>
        <w:rPr>
          <w:rFonts w:ascii="Work Sans" w:eastAsia="Times New Roman" w:hAnsi="Work Sans" w:cs="Times New Roman"/>
          <w:i/>
          <w:kern w:val="0"/>
          <w:sz w:val="18"/>
          <w:szCs w:val="18"/>
          <w:lang w:val="es-MX" w:eastAsia="es-CO" w:bidi="ar-SA"/>
        </w:rPr>
        <w:t> </w:t>
      </w:r>
    </w:p>
    <w:p w:rsidR="00CA4A39" w:rsidRDefault="00896237">
      <w:pPr>
        <w:widowControl/>
        <w:ind w:left="567" w:right="900"/>
        <w:jc w:val="both"/>
        <w:textAlignment w:val="auto"/>
      </w:pPr>
      <w:r>
        <w:rPr>
          <w:rFonts w:ascii="Work Sans" w:eastAsia="Times New Roman" w:hAnsi="Work Sans" w:cs="Times New Roman"/>
          <w:i/>
          <w:kern w:val="0"/>
          <w:sz w:val="18"/>
          <w:szCs w:val="18"/>
          <w:lang w:val="es-CO" w:eastAsia="es-CO" w:bidi="ar-SA"/>
        </w:rPr>
        <w:t>Parágrafo 2°. Para tener derecho a la exención contemplada en el literal b), es de carácter obligatorio que los vehículos allí relacionados, con excepción de las bicicletas y motocicletas, estén plenamente identifica</w:t>
      </w:r>
      <w:r>
        <w:rPr>
          <w:rFonts w:ascii="Work Sans" w:eastAsia="Times New Roman" w:hAnsi="Work Sans" w:cs="Times New Roman"/>
          <w:i/>
          <w:kern w:val="0"/>
          <w:sz w:val="18"/>
          <w:szCs w:val="18"/>
          <w:lang w:val="es-CO" w:eastAsia="es-CO" w:bidi="ar-SA"/>
        </w:rPr>
        <w:t>dos con los emblemas, colores y distintivos institucionales de cada una de las entidades y organismos a los cuales pertenecen. Para efectos de control, el Ministerio de Transporte reglamentará lo pertinente.</w:t>
      </w:r>
      <w:r>
        <w:rPr>
          <w:rFonts w:ascii="Work Sans" w:eastAsia="Times New Roman" w:hAnsi="Work Sans" w:cs="Times New Roman"/>
          <w:b/>
          <w:bCs/>
          <w:i/>
          <w:kern w:val="0"/>
          <w:sz w:val="18"/>
          <w:szCs w:val="18"/>
          <w:lang w:val="es-CO" w:eastAsia="es-CO" w:bidi="ar-SA"/>
        </w:rPr>
        <w:t> </w:t>
      </w:r>
    </w:p>
    <w:p w:rsidR="00CA4A39" w:rsidRDefault="00896237">
      <w:pPr>
        <w:widowControl/>
        <w:ind w:left="567" w:right="900"/>
        <w:jc w:val="both"/>
        <w:textAlignment w:val="auto"/>
      </w:pPr>
      <w:r>
        <w:rPr>
          <w:rFonts w:ascii="Work Sans" w:eastAsia="Times New Roman" w:hAnsi="Work Sans" w:cs="Times New Roman"/>
          <w:i/>
          <w:kern w:val="0"/>
          <w:sz w:val="18"/>
          <w:szCs w:val="18"/>
          <w:lang w:val="es-MX" w:eastAsia="es-CO" w:bidi="ar-SA"/>
        </w:rPr>
        <w:t> </w:t>
      </w:r>
    </w:p>
    <w:p w:rsidR="00CA4A39" w:rsidRDefault="00896237">
      <w:pPr>
        <w:widowControl/>
        <w:ind w:left="567" w:right="900"/>
        <w:jc w:val="both"/>
        <w:textAlignment w:val="auto"/>
        <w:rPr>
          <w:rFonts w:ascii="Work Sans" w:eastAsia="Times New Roman" w:hAnsi="Work Sans" w:cs="Times New Roman"/>
          <w:i/>
          <w:kern w:val="0"/>
          <w:sz w:val="18"/>
          <w:szCs w:val="18"/>
          <w:lang w:val="es-CO" w:eastAsia="es-CO" w:bidi="ar-SA"/>
        </w:rPr>
      </w:pPr>
      <w:r>
        <w:rPr>
          <w:rFonts w:ascii="Work Sans" w:eastAsia="Times New Roman" w:hAnsi="Work Sans" w:cs="Times New Roman"/>
          <w:i/>
          <w:kern w:val="0"/>
          <w:sz w:val="18"/>
          <w:szCs w:val="18"/>
          <w:lang w:val="es-CO" w:eastAsia="es-CO" w:bidi="ar-SA"/>
        </w:rPr>
        <w:t>Parágrafo 3°. Facúltese a las Entidades Terri</w:t>
      </w:r>
      <w:r>
        <w:rPr>
          <w:rFonts w:ascii="Work Sans" w:eastAsia="Times New Roman" w:hAnsi="Work Sans" w:cs="Times New Roman"/>
          <w:i/>
          <w:kern w:val="0"/>
          <w:sz w:val="18"/>
          <w:szCs w:val="18"/>
          <w:lang w:val="es-CO" w:eastAsia="es-CO" w:bidi="ar-SA"/>
        </w:rPr>
        <w:t>toriales para decretar las exenciones contempladas en el literal b), del artículo 1°.</w:t>
      </w:r>
    </w:p>
    <w:p w:rsidR="00CA4A39" w:rsidRDefault="00896237">
      <w:pPr>
        <w:widowControl/>
        <w:ind w:left="567" w:right="900"/>
        <w:jc w:val="both"/>
        <w:textAlignment w:val="auto"/>
      </w:pPr>
      <w:r>
        <w:rPr>
          <w:rFonts w:ascii="Work Sans" w:eastAsia="Times New Roman" w:hAnsi="Work Sans" w:cs="Times New Roman"/>
          <w:i/>
          <w:kern w:val="0"/>
          <w:sz w:val="18"/>
          <w:szCs w:val="18"/>
          <w:lang w:val="es-MX" w:eastAsia="es-CO" w:bidi="ar-SA"/>
        </w:rPr>
        <w:t> </w:t>
      </w:r>
    </w:p>
    <w:p w:rsidR="00CA4A39" w:rsidRDefault="00896237">
      <w:pPr>
        <w:widowControl/>
        <w:ind w:left="567" w:right="900"/>
        <w:jc w:val="both"/>
        <w:textAlignment w:val="auto"/>
      </w:pPr>
      <w:r>
        <w:rPr>
          <w:rFonts w:ascii="Work Sans" w:eastAsia="Times New Roman" w:hAnsi="Work Sans" w:cs="Times New Roman"/>
          <w:i/>
          <w:kern w:val="0"/>
          <w:sz w:val="18"/>
          <w:szCs w:val="18"/>
          <w:lang w:val="es-CO" w:eastAsia="es-CO" w:bidi="ar-SA"/>
        </w:rPr>
        <w:t>Parágrafo 4°. Se entiende también las vías “Concesionadas””</w:t>
      </w:r>
    </w:p>
    <w:p w:rsidR="00CA4A39" w:rsidRDefault="00CA4A39">
      <w:pPr>
        <w:widowControl/>
        <w:ind w:left="708" w:right="566"/>
        <w:jc w:val="both"/>
        <w:textAlignment w:val="auto"/>
        <w:rPr>
          <w:rFonts w:ascii="Work Sans" w:eastAsia="Calibri" w:hAnsi="Work Sans" w:cs="Arial"/>
          <w:i/>
          <w:kern w:val="0"/>
          <w:sz w:val="20"/>
          <w:szCs w:val="20"/>
          <w:lang w:val="es-CO" w:eastAsia="en-US" w:bidi="ar-SA"/>
        </w:rPr>
      </w:pPr>
    </w:p>
    <w:p w:rsidR="00CA4A39" w:rsidRDefault="00896237">
      <w:pPr>
        <w:widowControl/>
        <w:jc w:val="both"/>
        <w:textAlignment w:val="auto"/>
      </w:pPr>
      <w:r>
        <w:rPr>
          <w:rStyle w:val="Fuentedeprrafopredeter0"/>
          <w:rFonts w:ascii="Work Sans" w:eastAsia="Calibri" w:hAnsi="Work Sans" w:cs="Arial"/>
          <w:kern w:val="0"/>
          <w:sz w:val="20"/>
          <w:szCs w:val="20"/>
          <w:lang w:val="es-CO" w:eastAsia="en-US" w:bidi="ar-SA"/>
        </w:rPr>
        <w:t xml:space="preserve">Que el Decreto 087 de 2011 </w:t>
      </w:r>
      <w:r>
        <w:rPr>
          <w:rStyle w:val="Fuentedeprrafopredeter0"/>
          <w:rFonts w:ascii="Work Sans" w:eastAsia="Calibri" w:hAnsi="Work Sans" w:cs="Arial"/>
          <w:i/>
          <w:kern w:val="0"/>
          <w:sz w:val="20"/>
          <w:szCs w:val="20"/>
          <w:lang w:val="es-CO" w:eastAsia="en-US" w:bidi="ar-SA"/>
        </w:rPr>
        <w:t xml:space="preserve">“Por el cual se modifica la estructura el Ministerio de Transporte y se </w:t>
      </w:r>
      <w:r>
        <w:rPr>
          <w:rStyle w:val="Fuentedeprrafopredeter0"/>
          <w:rFonts w:ascii="Work Sans" w:eastAsia="Calibri" w:hAnsi="Work Sans" w:cs="Arial"/>
          <w:i/>
          <w:kern w:val="0"/>
          <w:sz w:val="20"/>
          <w:szCs w:val="20"/>
          <w:lang w:val="es-CO" w:eastAsia="en-US" w:bidi="ar-SA"/>
        </w:rPr>
        <w:t>determinan las funciones de sus dependencias”</w:t>
      </w:r>
      <w:r>
        <w:rPr>
          <w:rStyle w:val="Fuentedeprrafopredeter0"/>
          <w:rFonts w:ascii="Work Sans" w:eastAsia="Calibri" w:hAnsi="Work Sans" w:cs="Arial"/>
          <w:kern w:val="0"/>
          <w:sz w:val="20"/>
          <w:szCs w:val="20"/>
          <w:lang w:val="es-CO" w:eastAsia="en-US" w:bidi="ar-SA"/>
        </w:rPr>
        <w:t xml:space="preserve"> establece:</w:t>
      </w:r>
    </w:p>
    <w:p w:rsidR="00CA4A39" w:rsidRDefault="00CA4A39">
      <w:pPr>
        <w:widowControl/>
        <w:ind w:left="708"/>
        <w:jc w:val="both"/>
        <w:textAlignment w:val="auto"/>
        <w:rPr>
          <w:rFonts w:ascii="Work Sans" w:eastAsia="Calibri" w:hAnsi="Work Sans" w:cs="Arial"/>
          <w:kern w:val="0"/>
          <w:sz w:val="20"/>
          <w:szCs w:val="20"/>
          <w:lang w:val="es-CO" w:eastAsia="en-US" w:bidi="ar-SA"/>
        </w:rPr>
      </w:pPr>
    </w:p>
    <w:p w:rsidR="00CA4A39" w:rsidRDefault="00896237">
      <w:pPr>
        <w:ind w:left="567" w:right="900"/>
        <w:jc w:val="both"/>
        <w:rPr>
          <w:rFonts w:ascii="Work Sans" w:eastAsia="Times New Roman" w:hAnsi="Work Sans" w:cs="Times New Roman"/>
          <w:i/>
          <w:kern w:val="0"/>
          <w:sz w:val="18"/>
          <w:szCs w:val="18"/>
          <w:lang w:val="es-CO" w:eastAsia="es-CO" w:bidi="ar-SA"/>
        </w:rPr>
      </w:pPr>
      <w:r>
        <w:rPr>
          <w:rFonts w:ascii="Work Sans" w:eastAsia="Times New Roman" w:hAnsi="Work Sans" w:cs="Times New Roman"/>
          <w:i/>
          <w:kern w:val="0"/>
          <w:sz w:val="18"/>
          <w:szCs w:val="18"/>
          <w:lang w:val="es-CO" w:eastAsia="es-CO" w:bidi="ar-SA"/>
        </w:rPr>
        <w:t xml:space="preserve">“Artículo 6°. Funciones del Despacho del Ministro de Transporte. Son funciones del Despacho del Ministro de Transporte, además de las señaladas por la Constitución Política y la ley, las </w:t>
      </w:r>
      <w:r>
        <w:rPr>
          <w:rFonts w:ascii="Work Sans" w:eastAsia="Times New Roman" w:hAnsi="Work Sans" w:cs="Times New Roman"/>
          <w:i/>
          <w:kern w:val="0"/>
          <w:sz w:val="18"/>
          <w:szCs w:val="18"/>
          <w:lang w:val="es-CO" w:eastAsia="es-CO" w:bidi="ar-SA"/>
        </w:rPr>
        <w:t>siguientes:</w:t>
      </w:r>
    </w:p>
    <w:p w:rsidR="00CA4A39" w:rsidRDefault="00896237">
      <w:pPr>
        <w:widowControl/>
        <w:tabs>
          <w:tab w:val="left" w:pos="0"/>
        </w:tabs>
        <w:ind w:left="567" w:right="900"/>
        <w:jc w:val="both"/>
        <w:textAlignment w:val="auto"/>
        <w:rPr>
          <w:rFonts w:ascii="Work Sans" w:eastAsia="Times New Roman" w:hAnsi="Work Sans" w:cs="Times New Roman"/>
          <w:i/>
          <w:kern w:val="0"/>
          <w:sz w:val="18"/>
          <w:szCs w:val="18"/>
          <w:lang w:val="es-CO" w:eastAsia="es-CO" w:bidi="ar-SA"/>
        </w:rPr>
      </w:pPr>
      <w:r>
        <w:rPr>
          <w:rFonts w:ascii="Work Sans" w:eastAsia="Times New Roman" w:hAnsi="Work Sans" w:cs="Times New Roman"/>
          <w:i/>
          <w:kern w:val="0"/>
          <w:sz w:val="18"/>
          <w:szCs w:val="18"/>
          <w:lang w:val="es-CO" w:eastAsia="es-CO" w:bidi="ar-SA"/>
        </w:rPr>
        <w:t xml:space="preserve"> </w:t>
      </w:r>
    </w:p>
    <w:p w:rsidR="00CA4A39" w:rsidRDefault="00896237">
      <w:pPr>
        <w:widowControl/>
        <w:tabs>
          <w:tab w:val="left" w:pos="0"/>
        </w:tabs>
        <w:ind w:left="567" w:right="900"/>
        <w:jc w:val="both"/>
        <w:textAlignment w:val="auto"/>
        <w:rPr>
          <w:rFonts w:ascii="Work Sans" w:eastAsia="Times New Roman" w:hAnsi="Work Sans" w:cs="Times New Roman"/>
          <w:i/>
          <w:kern w:val="0"/>
          <w:sz w:val="18"/>
          <w:szCs w:val="18"/>
          <w:lang w:val="es-CO" w:eastAsia="es-CO" w:bidi="ar-SA"/>
        </w:rPr>
      </w:pPr>
      <w:r>
        <w:rPr>
          <w:rFonts w:ascii="Work Sans" w:eastAsia="Times New Roman" w:hAnsi="Work Sans" w:cs="Times New Roman"/>
          <w:i/>
          <w:kern w:val="0"/>
          <w:sz w:val="18"/>
          <w:szCs w:val="18"/>
          <w:lang w:val="es-CO" w:eastAsia="es-CO" w:bidi="ar-SA"/>
        </w:rPr>
        <w:t>…6.14. Emitir, en su calidad de suprema autoridad del Sector Transporte y del Sistema Nacional de Transporte, concepto vinculante previo al establecimiento de los peajes que deban cobrarse por el uso de las vías a cargo de la Nación, los depa</w:t>
      </w:r>
      <w:r>
        <w:rPr>
          <w:rFonts w:ascii="Work Sans" w:eastAsia="Times New Roman" w:hAnsi="Work Sans" w:cs="Times New Roman"/>
          <w:i/>
          <w:kern w:val="0"/>
          <w:sz w:val="18"/>
          <w:szCs w:val="18"/>
          <w:lang w:val="es-CO" w:eastAsia="es-CO" w:bidi="ar-SA"/>
        </w:rPr>
        <w:t>rtamentos, distritos y municipios.”</w:t>
      </w:r>
    </w:p>
    <w:p w:rsidR="00CA4A39" w:rsidRDefault="00CA4A39">
      <w:pPr>
        <w:widowControl/>
        <w:tabs>
          <w:tab w:val="left" w:pos="0"/>
        </w:tabs>
        <w:ind w:left="567" w:right="900"/>
        <w:jc w:val="both"/>
        <w:textAlignment w:val="auto"/>
        <w:rPr>
          <w:rFonts w:ascii="Work Sans" w:eastAsia="Times New Roman" w:hAnsi="Work Sans" w:cs="Times New Roman"/>
          <w:i/>
          <w:kern w:val="0"/>
          <w:sz w:val="18"/>
          <w:szCs w:val="18"/>
          <w:lang w:val="es-CO" w:eastAsia="es-CO" w:bidi="ar-SA"/>
        </w:rPr>
      </w:pPr>
    </w:p>
    <w:p w:rsidR="00CA4A39" w:rsidRDefault="00896237">
      <w:pPr>
        <w:ind w:right="49"/>
        <w:jc w:val="both"/>
      </w:pPr>
      <w:r>
        <w:rPr>
          <w:rStyle w:val="Fuentedeprrafopredeter0"/>
          <w:rFonts w:ascii="Work Sans" w:eastAsia="Calibri" w:hAnsi="Work Sans" w:cs="Arial"/>
          <w:kern w:val="0"/>
          <w:sz w:val="20"/>
          <w:szCs w:val="20"/>
          <w:lang w:val="es-CO" w:eastAsia="en-US" w:bidi="ar-SA"/>
        </w:rPr>
        <w:t xml:space="preserve">Que el Decreto 2618 de 2013 </w:t>
      </w:r>
      <w:r>
        <w:rPr>
          <w:rStyle w:val="Fuentedeprrafopredeter0"/>
          <w:rFonts w:ascii="Work Sans" w:eastAsia="Calibri" w:hAnsi="Work Sans" w:cs="Arial"/>
          <w:i/>
          <w:kern w:val="0"/>
          <w:sz w:val="20"/>
          <w:szCs w:val="20"/>
          <w:lang w:val="es-CO" w:eastAsia="en-US" w:bidi="ar-SA"/>
        </w:rPr>
        <w:t>“Por el cual se modifica la estructura del Instituto Nacional de Vías – INVIAS – y se determinan las funciones de sus dependencias”,</w:t>
      </w:r>
      <w:r>
        <w:rPr>
          <w:rStyle w:val="Fuentedeprrafopredeter0"/>
          <w:rFonts w:ascii="Work Sans" w:eastAsia="Calibri" w:hAnsi="Work Sans" w:cs="Arial"/>
          <w:kern w:val="0"/>
          <w:sz w:val="20"/>
          <w:szCs w:val="20"/>
          <w:lang w:val="es-CO" w:eastAsia="en-US" w:bidi="ar-SA"/>
        </w:rPr>
        <w:t xml:space="preserve"> establece que el Instituto Nacional de Vías (Invías) tiene</w:t>
      </w:r>
      <w:r>
        <w:rPr>
          <w:rStyle w:val="Fuentedeprrafopredeter0"/>
          <w:rFonts w:ascii="Work Sans" w:eastAsia="Calibri" w:hAnsi="Work Sans" w:cs="Arial"/>
          <w:kern w:val="0"/>
          <w:sz w:val="20"/>
          <w:szCs w:val="20"/>
          <w:lang w:val="es-CO" w:eastAsia="en-US" w:bidi="ar-SA"/>
        </w:rPr>
        <w:t xml:space="preserve"> por objeto la ejecución de las políticas, estrategias, planes, programas y proyectos de la infraestructura no concesionada de la Red Vial Nacional de carreteras primaria y terciaria y estableció entre otras funciones a cargo del Invías: </w:t>
      </w:r>
    </w:p>
    <w:p w:rsidR="00CA4A39" w:rsidRDefault="00CA4A39">
      <w:pPr>
        <w:ind w:right="49"/>
        <w:jc w:val="both"/>
        <w:rPr>
          <w:rFonts w:ascii="Verdana" w:hAnsi="Verdana"/>
          <w:color w:val="000000"/>
          <w:sz w:val="22"/>
          <w:szCs w:val="22"/>
        </w:rPr>
      </w:pPr>
    </w:p>
    <w:p w:rsidR="00CA4A39" w:rsidRDefault="00896237">
      <w:pPr>
        <w:ind w:left="543" w:right="900"/>
        <w:jc w:val="both"/>
        <w:rPr>
          <w:rFonts w:ascii="Work Sans" w:eastAsia="Times New Roman" w:hAnsi="Work Sans" w:cs="Times New Roman"/>
          <w:i/>
          <w:kern w:val="0"/>
          <w:sz w:val="18"/>
          <w:szCs w:val="18"/>
          <w:lang w:val="es-CO" w:eastAsia="es-CO" w:bidi="ar-SA"/>
        </w:rPr>
      </w:pPr>
      <w:r>
        <w:rPr>
          <w:rFonts w:ascii="Work Sans" w:eastAsia="Times New Roman" w:hAnsi="Work Sans" w:cs="Times New Roman"/>
          <w:i/>
          <w:kern w:val="0"/>
          <w:sz w:val="18"/>
          <w:szCs w:val="18"/>
          <w:lang w:val="es-CO" w:eastAsia="es-CO" w:bidi="ar-SA"/>
        </w:rPr>
        <w:t>“2.6 Recaudar lo</w:t>
      </w:r>
      <w:r>
        <w:rPr>
          <w:rFonts w:ascii="Work Sans" w:eastAsia="Times New Roman" w:hAnsi="Work Sans" w:cs="Times New Roman"/>
          <w:i/>
          <w:kern w:val="0"/>
          <w:sz w:val="18"/>
          <w:szCs w:val="18"/>
          <w:lang w:val="es-CO" w:eastAsia="es-CO" w:bidi="ar-SA"/>
        </w:rPr>
        <w:t>s peajes y demás cobros sobre el uso de la Infraestructura vial a su cargo.”</w:t>
      </w:r>
    </w:p>
    <w:p w:rsidR="00CA4A39" w:rsidRDefault="00CA4A39">
      <w:pPr>
        <w:ind w:left="543" w:right="900"/>
        <w:jc w:val="both"/>
        <w:rPr>
          <w:rFonts w:ascii="Work Sans" w:eastAsia="Times New Roman" w:hAnsi="Work Sans" w:cs="Times New Roman"/>
          <w:i/>
          <w:kern w:val="0"/>
          <w:sz w:val="18"/>
          <w:szCs w:val="18"/>
          <w:lang w:val="es-CO" w:eastAsia="es-CO" w:bidi="ar-SA"/>
        </w:rPr>
      </w:pPr>
    </w:p>
    <w:p w:rsidR="00CA4A39" w:rsidRDefault="00896237">
      <w:pPr>
        <w:widowControl/>
        <w:ind w:right="49"/>
        <w:jc w:val="both"/>
        <w:textAlignment w:val="auto"/>
        <w:rPr>
          <w:rFonts w:ascii="Work Sans" w:eastAsia="Calibri" w:hAnsi="Work Sans" w:cs="Arial"/>
          <w:kern w:val="0"/>
          <w:sz w:val="20"/>
          <w:szCs w:val="20"/>
          <w:lang w:val="es-CO" w:eastAsia="en-US" w:bidi="ar-SA"/>
        </w:rPr>
      </w:pPr>
      <w:r>
        <w:rPr>
          <w:rFonts w:ascii="Work Sans" w:eastAsia="Calibri" w:hAnsi="Work Sans" w:cs="Arial"/>
          <w:kern w:val="0"/>
          <w:sz w:val="20"/>
          <w:szCs w:val="20"/>
          <w:lang w:val="es-CO" w:eastAsia="en-US" w:bidi="ar-SA"/>
        </w:rPr>
        <w:t>Que mediante Resolución 007784 del 13 de septiembre de 1985, el extinto Ministerio de Obras Públicas y Transporte estableció el cobro de peaje en los dos (2) sentidos del tránsit</w:t>
      </w:r>
      <w:r>
        <w:rPr>
          <w:rFonts w:ascii="Work Sans" w:eastAsia="Calibri" w:hAnsi="Work Sans" w:cs="Arial"/>
          <w:kern w:val="0"/>
          <w:sz w:val="20"/>
          <w:szCs w:val="20"/>
          <w:lang w:val="es-CO" w:eastAsia="en-US" w:bidi="ar-SA"/>
        </w:rPr>
        <w:t>o vehicular en la caseta ubicada en el sector La Línea – Ibagué del tramo 4003, Armenia – Ibagué, de la carretera Armenia – Girardot, para atender la conservación de la mencionada carretera.</w:t>
      </w:r>
    </w:p>
    <w:p w:rsidR="00CA4A39" w:rsidRDefault="00CA4A39">
      <w:pPr>
        <w:widowControl/>
        <w:ind w:right="49"/>
        <w:jc w:val="both"/>
        <w:textAlignment w:val="auto"/>
        <w:rPr>
          <w:rFonts w:ascii="Work Sans" w:eastAsia="Calibri" w:hAnsi="Work Sans" w:cs="Arial"/>
          <w:kern w:val="0"/>
          <w:sz w:val="20"/>
          <w:szCs w:val="20"/>
          <w:lang w:val="es-CO" w:eastAsia="en-US" w:bidi="ar-SA"/>
        </w:rPr>
      </w:pPr>
    </w:p>
    <w:p w:rsidR="00CA4A39" w:rsidRDefault="00896237">
      <w:pPr>
        <w:widowControl/>
        <w:ind w:right="49"/>
        <w:jc w:val="both"/>
        <w:textAlignment w:val="auto"/>
        <w:rPr>
          <w:rFonts w:ascii="Work Sans" w:eastAsia="Calibri" w:hAnsi="Work Sans" w:cs="Arial"/>
          <w:kern w:val="0"/>
          <w:sz w:val="20"/>
          <w:szCs w:val="20"/>
          <w:lang w:val="es-CO" w:eastAsia="en-US" w:bidi="ar-SA"/>
        </w:rPr>
      </w:pPr>
      <w:r>
        <w:rPr>
          <w:rFonts w:ascii="Work Sans" w:eastAsia="Calibri" w:hAnsi="Work Sans" w:cs="Arial"/>
          <w:kern w:val="0"/>
          <w:sz w:val="20"/>
          <w:szCs w:val="20"/>
          <w:lang w:val="es-CO" w:eastAsia="en-US" w:bidi="ar-SA"/>
        </w:rPr>
        <w:t xml:space="preserve">Que la referida estación de peaje está ubicada en el </w:t>
      </w:r>
      <w:r>
        <w:rPr>
          <w:rFonts w:ascii="Work Sans" w:eastAsia="Calibri" w:hAnsi="Work Sans" w:cs="Arial"/>
          <w:kern w:val="0"/>
          <w:sz w:val="20"/>
          <w:szCs w:val="20"/>
          <w:lang w:val="es-CO" w:eastAsia="en-US" w:bidi="ar-SA"/>
        </w:rPr>
        <w:t>PR39+0050 de la carretera Armenia – La Línea – Ibagué, Ruta 4003, de conformidad con lo señalado por el Instituto Nacional de Vías –INVIAS, mediante oficio DG 270009 del 27 de julio de 2020.</w:t>
      </w:r>
    </w:p>
    <w:p w:rsidR="00CA4A39" w:rsidRDefault="00CA4A39">
      <w:pPr>
        <w:widowControl/>
        <w:ind w:right="49"/>
        <w:jc w:val="both"/>
        <w:textAlignment w:val="auto"/>
        <w:rPr>
          <w:rFonts w:ascii="Work Sans" w:eastAsia="Calibri" w:hAnsi="Work Sans" w:cs="Arial"/>
          <w:kern w:val="0"/>
          <w:sz w:val="20"/>
          <w:szCs w:val="20"/>
          <w:lang w:val="es-CO" w:eastAsia="en-US" w:bidi="ar-SA"/>
        </w:rPr>
      </w:pPr>
    </w:p>
    <w:p w:rsidR="00CA4A39" w:rsidRDefault="00896237">
      <w:pPr>
        <w:widowControl/>
        <w:autoSpaceDE w:val="0"/>
        <w:jc w:val="both"/>
      </w:pPr>
      <w:r>
        <w:rPr>
          <w:rFonts w:ascii="Work Sans" w:eastAsia="Calibri" w:hAnsi="Work Sans" w:cs="Arial"/>
          <w:kern w:val="0"/>
          <w:sz w:val="20"/>
          <w:szCs w:val="20"/>
          <w:lang w:val="es-CO" w:eastAsia="en-US" w:bidi="ar-SA"/>
        </w:rPr>
        <w:t>Que mediante oficio DG-27009 del 27 de julio de 2020, radicado e</w:t>
      </w:r>
      <w:r>
        <w:rPr>
          <w:rFonts w:ascii="Work Sans" w:eastAsia="Calibri" w:hAnsi="Work Sans" w:cs="Arial"/>
          <w:kern w:val="0"/>
          <w:sz w:val="20"/>
          <w:szCs w:val="20"/>
          <w:lang w:val="es-CO" w:eastAsia="en-US" w:bidi="ar-SA"/>
        </w:rPr>
        <w:t>n el Ministerio de Transporte bajo el número 20203030722892 del 1 de agosto de 2020, el Instituto Nacional de Vías -INVIAS solicitó la reubicación de la estación de peaje Cajamarca a los PRs</w:t>
      </w:r>
      <w:r>
        <w:rPr>
          <w:rFonts w:ascii="Work Sans" w:hAnsi="Work Sans" w:cs="Arial"/>
          <w:color w:val="000000"/>
          <w:sz w:val="20"/>
          <w:szCs w:val="20"/>
        </w:rPr>
        <w:t>15+0550 y 36+0010 con cobro en el sentido de tránsito vehicular en</w:t>
      </w:r>
      <w:r>
        <w:rPr>
          <w:rFonts w:ascii="Work Sans" w:hAnsi="Work Sans" w:cs="Arial"/>
          <w:color w:val="000000"/>
          <w:sz w:val="20"/>
          <w:szCs w:val="20"/>
        </w:rPr>
        <w:t xml:space="preserve"> cada una de ellas, con fundamento en lo siguiente:</w:t>
      </w:r>
      <w:r>
        <w:rPr>
          <w:rFonts w:ascii="Work Sans" w:eastAsia="DengXian Light" w:hAnsi="Work Sans" w:cs="Arial"/>
          <w:sz w:val="21"/>
          <w:szCs w:val="21"/>
          <w:lang w:bidi="ar-SA"/>
        </w:rPr>
        <w:t xml:space="preserve"> </w:t>
      </w:r>
    </w:p>
    <w:p w:rsidR="00CA4A39" w:rsidRDefault="00CA4A39">
      <w:pPr>
        <w:pStyle w:val="Textoindependiente"/>
        <w:ind w:left="567" w:right="616"/>
        <w:jc w:val="both"/>
        <w:rPr>
          <w:rFonts w:ascii="Work Sans" w:eastAsia="Times New Roman" w:hAnsi="Work Sans" w:cs="Times New Roman"/>
          <w:i/>
          <w:kern w:val="0"/>
          <w:sz w:val="18"/>
          <w:szCs w:val="18"/>
          <w:lang w:val="es-CO" w:eastAsia="es-CO" w:bidi="ar-SA"/>
        </w:rPr>
      </w:pPr>
    </w:p>
    <w:p w:rsidR="00CA4A39" w:rsidRDefault="00896237">
      <w:pPr>
        <w:pStyle w:val="Textoindependiente"/>
        <w:ind w:left="567" w:right="616"/>
        <w:jc w:val="both"/>
        <w:rPr>
          <w:rFonts w:ascii="Work Sans" w:eastAsia="Times New Roman" w:hAnsi="Work Sans" w:cs="Times New Roman"/>
          <w:i/>
          <w:kern w:val="0"/>
          <w:sz w:val="18"/>
          <w:szCs w:val="18"/>
          <w:lang w:val="es-CO" w:eastAsia="es-CO" w:bidi="ar-SA"/>
        </w:rPr>
      </w:pPr>
      <w:r>
        <w:rPr>
          <w:rFonts w:ascii="Work Sans" w:eastAsia="Times New Roman" w:hAnsi="Work Sans" w:cs="Times New Roman"/>
          <w:i/>
          <w:kern w:val="0"/>
          <w:sz w:val="18"/>
          <w:szCs w:val="18"/>
          <w:lang w:val="es-CO" w:eastAsia="es-CO" w:bidi="ar-SA"/>
        </w:rPr>
        <w:t>“(…)</w:t>
      </w:r>
    </w:p>
    <w:p w:rsidR="00CA4A39" w:rsidRDefault="00896237">
      <w:pPr>
        <w:pStyle w:val="Textoindependiente"/>
        <w:ind w:left="567" w:right="616"/>
        <w:jc w:val="both"/>
        <w:rPr>
          <w:rFonts w:ascii="Work Sans" w:eastAsia="Times New Roman" w:hAnsi="Work Sans" w:cs="Times New Roman"/>
          <w:i/>
          <w:kern w:val="0"/>
          <w:sz w:val="18"/>
          <w:szCs w:val="18"/>
          <w:lang w:val="es-CO" w:eastAsia="es-CO" w:bidi="ar-SA"/>
        </w:rPr>
      </w:pPr>
      <w:r>
        <w:rPr>
          <w:rFonts w:ascii="Work Sans" w:eastAsia="Times New Roman" w:hAnsi="Work Sans" w:cs="Times New Roman"/>
          <w:i/>
          <w:kern w:val="0"/>
          <w:sz w:val="18"/>
          <w:szCs w:val="18"/>
          <w:lang w:val="es-CO" w:eastAsia="es-CO" w:bidi="ar-SA"/>
        </w:rPr>
        <w:lastRenderedPageBreak/>
        <w:t>2. El Instituto Nacional de Vías - INVIAS ha venido ejecutando en el corredor vial que une los municipios de Cajamarca y Calarcá, obras que alcanzan un valor estimado de dos coma nueve (2,9) billon</w:t>
      </w:r>
      <w:r>
        <w:rPr>
          <w:rFonts w:ascii="Work Sans" w:eastAsia="Times New Roman" w:hAnsi="Work Sans" w:cs="Times New Roman"/>
          <w:i/>
          <w:kern w:val="0"/>
          <w:sz w:val="18"/>
          <w:szCs w:val="18"/>
          <w:lang w:val="es-CO" w:eastAsia="es-CO" w:bidi="ar-SA"/>
        </w:rPr>
        <w:t>es de pesos, consistentes en la construcción del Túnel de la Línea, el túnel de rescate, intercambiadores, una segunda calzada con viaductos y túneles adicionales, y la instalación y puesta a punto de los equipos electromecánicos, obras que generarán evide</w:t>
      </w:r>
      <w:r>
        <w:rPr>
          <w:rFonts w:ascii="Work Sans" w:eastAsia="Times New Roman" w:hAnsi="Work Sans" w:cs="Times New Roman"/>
          <w:i/>
          <w:kern w:val="0"/>
          <w:sz w:val="18"/>
          <w:szCs w:val="18"/>
          <w:lang w:val="es-CO" w:eastAsia="es-CO" w:bidi="ar-SA"/>
        </w:rPr>
        <w:t>ntes ahorros en los tiempos de viaje y mejoramiento en la capacidad y el nivel de servicio de la vía en este importante corredor vial que une el interior con el principal puerto localizado en la zona sur - occidente del país, a través de la carretera Bogot</w:t>
      </w:r>
      <w:r>
        <w:rPr>
          <w:rFonts w:ascii="Work Sans" w:eastAsia="Times New Roman" w:hAnsi="Work Sans" w:cs="Times New Roman"/>
          <w:i/>
          <w:kern w:val="0"/>
          <w:sz w:val="18"/>
          <w:szCs w:val="18"/>
          <w:lang w:val="es-CO" w:eastAsia="es-CO" w:bidi="ar-SA"/>
        </w:rPr>
        <w:t>á – Girardot – Ibagué – Cajamarca – Calarcá – Buga – Buenaventura.</w:t>
      </w:r>
    </w:p>
    <w:p w:rsidR="00CA4A39" w:rsidRDefault="00896237">
      <w:pPr>
        <w:widowControl/>
        <w:suppressAutoHyphens w:val="0"/>
        <w:autoSpaceDE w:val="0"/>
        <w:ind w:left="567" w:right="616"/>
        <w:jc w:val="both"/>
        <w:textAlignment w:val="auto"/>
        <w:rPr>
          <w:rFonts w:ascii="Work Sans" w:eastAsia="Times New Roman" w:hAnsi="Work Sans" w:cs="Times New Roman"/>
          <w:i/>
          <w:kern w:val="0"/>
          <w:sz w:val="18"/>
          <w:szCs w:val="18"/>
          <w:lang w:val="es-CO" w:eastAsia="es-CO" w:bidi="ar-SA"/>
        </w:rPr>
      </w:pPr>
      <w:r>
        <w:rPr>
          <w:rFonts w:ascii="Work Sans" w:eastAsia="Times New Roman" w:hAnsi="Work Sans" w:cs="Times New Roman"/>
          <w:i/>
          <w:kern w:val="0"/>
          <w:sz w:val="18"/>
          <w:szCs w:val="18"/>
          <w:lang w:val="es-CO" w:eastAsia="es-CO" w:bidi="ar-SA"/>
        </w:rPr>
        <w:t xml:space="preserve">3. Como parte de la operación integral de la vía ante las nuevas obras que serán puestas al servicio, se ha previsto reubicar la actual estación de peaje denominada Cajamarca, </w:t>
      </w:r>
      <w:r>
        <w:rPr>
          <w:rFonts w:ascii="Work Sans" w:eastAsia="Times New Roman" w:hAnsi="Work Sans" w:cs="Times New Roman"/>
          <w:i/>
          <w:kern w:val="0"/>
          <w:sz w:val="18"/>
          <w:szCs w:val="18"/>
          <w:lang w:val="es-CO" w:eastAsia="es-CO" w:bidi="ar-SA"/>
        </w:rPr>
        <w:t xml:space="preserve">localizada en el PR 39+0050 de la carretera Armenia – La Línea – Ibagué, Ruta 4003, con base en las recomendaciones del Consultor presentadas en razón del Contrato No. 1759 de 2015 que ejecuta la Unión Temporal Disico – Comsa – GyC (UT-DCG), en virtud del </w:t>
      </w:r>
      <w:r>
        <w:rPr>
          <w:rFonts w:ascii="Work Sans" w:eastAsia="Times New Roman" w:hAnsi="Work Sans" w:cs="Times New Roman"/>
          <w:i/>
          <w:kern w:val="0"/>
          <w:sz w:val="18"/>
          <w:szCs w:val="18"/>
          <w:lang w:val="es-CO" w:eastAsia="es-CO" w:bidi="ar-SA"/>
        </w:rPr>
        <w:t>cual se adelanta la construcción del peaje ubicado en el sector de Bermellón dentro del contrato de suministro, instalación y puesta en marcha de los equipos electromecánicos del proyecto, en cuyo desarrollo se elaboró un estudio de riesgos para definir el</w:t>
      </w:r>
      <w:r>
        <w:rPr>
          <w:rFonts w:ascii="Work Sans" w:eastAsia="Times New Roman" w:hAnsi="Work Sans" w:cs="Times New Roman"/>
          <w:i/>
          <w:kern w:val="0"/>
          <w:sz w:val="18"/>
          <w:szCs w:val="18"/>
          <w:lang w:val="es-CO" w:eastAsia="es-CO" w:bidi="ar-SA"/>
        </w:rPr>
        <w:t xml:space="preserve"> tipo de ventilación que aplicaba para el Túnel de La Línea, contenido en el documento PCCC-VENT-TULI-ET2-MM-R0-161028 “Análisis de Riesgo”, concluyendo en dicho estudio, luego de los análisis correspondientes, lo siguiente:</w:t>
      </w:r>
    </w:p>
    <w:p w:rsidR="00CA4A39" w:rsidRDefault="00CA4A39">
      <w:pPr>
        <w:widowControl/>
        <w:suppressAutoHyphens w:val="0"/>
        <w:autoSpaceDE w:val="0"/>
        <w:ind w:left="567" w:right="616"/>
        <w:jc w:val="both"/>
        <w:textAlignment w:val="auto"/>
        <w:rPr>
          <w:rFonts w:ascii="Work Sans" w:eastAsia="Times New Roman" w:hAnsi="Work Sans" w:cs="Times New Roman"/>
          <w:i/>
          <w:kern w:val="0"/>
          <w:sz w:val="18"/>
          <w:szCs w:val="18"/>
          <w:lang w:val="es-CO" w:eastAsia="es-CO" w:bidi="ar-SA"/>
        </w:rPr>
      </w:pPr>
    </w:p>
    <w:p w:rsidR="00CA4A39" w:rsidRDefault="00896237">
      <w:pPr>
        <w:widowControl/>
        <w:suppressAutoHyphens w:val="0"/>
        <w:autoSpaceDE w:val="0"/>
        <w:ind w:left="851" w:right="900"/>
        <w:jc w:val="both"/>
        <w:textAlignment w:val="auto"/>
        <w:rPr>
          <w:rFonts w:ascii="Work Sans" w:eastAsia="Times New Roman" w:hAnsi="Work Sans" w:cs="Times New Roman"/>
          <w:i/>
          <w:kern w:val="0"/>
          <w:sz w:val="18"/>
          <w:szCs w:val="18"/>
          <w:lang w:val="es-CO" w:eastAsia="es-CO" w:bidi="ar-SA"/>
        </w:rPr>
      </w:pPr>
      <w:r>
        <w:rPr>
          <w:rFonts w:ascii="Work Sans" w:eastAsia="Times New Roman" w:hAnsi="Work Sans" w:cs="Times New Roman"/>
          <w:i/>
          <w:kern w:val="0"/>
          <w:sz w:val="18"/>
          <w:szCs w:val="18"/>
          <w:lang w:val="es-CO" w:eastAsia="es-CO" w:bidi="ar-SA"/>
        </w:rPr>
        <w:t xml:space="preserve">“10.2.2 Evitación de filas en </w:t>
      </w:r>
      <w:r>
        <w:rPr>
          <w:rFonts w:ascii="Work Sans" w:eastAsia="Times New Roman" w:hAnsi="Work Sans" w:cs="Times New Roman"/>
          <w:i/>
          <w:kern w:val="0"/>
          <w:sz w:val="18"/>
          <w:szCs w:val="18"/>
          <w:lang w:val="es-CO" w:eastAsia="es-CO" w:bidi="ar-SA"/>
        </w:rPr>
        <w:t>el túnel desde la estación de peaje.</w:t>
      </w:r>
    </w:p>
    <w:p w:rsidR="00CA4A39" w:rsidRDefault="00CA4A39">
      <w:pPr>
        <w:widowControl/>
        <w:suppressAutoHyphens w:val="0"/>
        <w:autoSpaceDE w:val="0"/>
        <w:ind w:left="851" w:right="900"/>
        <w:jc w:val="both"/>
        <w:textAlignment w:val="auto"/>
        <w:rPr>
          <w:rFonts w:ascii="Work Sans" w:eastAsia="Times New Roman" w:hAnsi="Work Sans" w:cs="Times New Roman"/>
          <w:i/>
          <w:kern w:val="0"/>
          <w:sz w:val="18"/>
          <w:szCs w:val="18"/>
          <w:lang w:val="es-CO" w:eastAsia="es-CO" w:bidi="ar-SA"/>
        </w:rPr>
      </w:pPr>
    </w:p>
    <w:p w:rsidR="00CA4A39" w:rsidRDefault="00896237">
      <w:pPr>
        <w:widowControl/>
        <w:suppressAutoHyphens w:val="0"/>
        <w:autoSpaceDE w:val="0"/>
        <w:ind w:left="851" w:right="900"/>
        <w:jc w:val="both"/>
        <w:textAlignment w:val="auto"/>
        <w:rPr>
          <w:rFonts w:ascii="Work Sans" w:eastAsia="Times New Roman" w:hAnsi="Work Sans" w:cs="Times New Roman"/>
          <w:i/>
          <w:kern w:val="0"/>
          <w:sz w:val="18"/>
          <w:szCs w:val="18"/>
          <w:lang w:val="es-CO" w:eastAsia="es-CO" w:bidi="ar-SA"/>
        </w:rPr>
      </w:pPr>
      <w:r>
        <w:rPr>
          <w:rFonts w:ascii="Work Sans" w:eastAsia="Times New Roman" w:hAnsi="Work Sans" w:cs="Times New Roman"/>
          <w:i/>
          <w:kern w:val="0"/>
          <w:sz w:val="18"/>
          <w:szCs w:val="18"/>
          <w:lang w:val="es-CO" w:eastAsia="es-CO" w:bidi="ar-SA"/>
        </w:rPr>
        <w:t>Actualmente, está planeada la ubicación de una estación de peaje después de la salida del portal Bermellón al este del túnel. Una estación de peaje representa una discontinuidad en el flujo del tráfico que puede causar</w:t>
      </w:r>
      <w:r>
        <w:rPr>
          <w:rFonts w:ascii="Work Sans" w:eastAsia="Times New Roman" w:hAnsi="Work Sans" w:cs="Times New Roman"/>
          <w:i/>
          <w:kern w:val="0"/>
          <w:sz w:val="18"/>
          <w:szCs w:val="18"/>
          <w:lang w:val="es-CO" w:eastAsia="es-CO" w:bidi="ar-SA"/>
        </w:rPr>
        <w:t xml:space="preserve"> algún inconveniente si el tráfico en el túnel es mayor que la capacidad de la estación de peaje.</w:t>
      </w:r>
    </w:p>
    <w:p w:rsidR="00CA4A39" w:rsidRDefault="00CA4A39">
      <w:pPr>
        <w:widowControl/>
        <w:suppressAutoHyphens w:val="0"/>
        <w:autoSpaceDE w:val="0"/>
        <w:ind w:left="851" w:right="900"/>
        <w:jc w:val="both"/>
        <w:textAlignment w:val="auto"/>
        <w:rPr>
          <w:rFonts w:ascii="Work Sans" w:eastAsia="Times New Roman" w:hAnsi="Work Sans" w:cs="Times New Roman"/>
          <w:i/>
          <w:kern w:val="0"/>
          <w:sz w:val="18"/>
          <w:szCs w:val="18"/>
          <w:lang w:val="es-CO" w:eastAsia="es-CO" w:bidi="ar-SA"/>
        </w:rPr>
      </w:pPr>
    </w:p>
    <w:p w:rsidR="00CA4A39" w:rsidRDefault="00896237">
      <w:pPr>
        <w:widowControl/>
        <w:suppressAutoHyphens w:val="0"/>
        <w:autoSpaceDE w:val="0"/>
        <w:ind w:left="851" w:right="900"/>
        <w:jc w:val="both"/>
        <w:textAlignment w:val="auto"/>
        <w:rPr>
          <w:rFonts w:ascii="Work Sans" w:eastAsia="Times New Roman" w:hAnsi="Work Sans" w:cs="Times New Roman"/>
          <w:i/>
          <w:kern w:val="0"/>
          <w:sz w:val="18"/>
          <w:szCs w:val="18"/>
          <w:lang w:val="es-CO" w:eastAsia="es-CO" w:bidi="ar-SA"/>
        </w:rPr>
      </w:pPr>
      <w:r>
        <w:rPr>
          <w:rFonts w:ascii="Work Sans" w:eastAsia="Times New Roman" w:hAnsi="Work Sans" w:cs="Times New Roman"/>
          <w:i/>
          <w:kern w:val="0"/>
          <w:sz w:val="18"/>
          <w:szCs w:val="18"/>
          <w:lang w:val="es-CO" w:eastAsia="es-CO" w:bidi="ar-SA"/>
        </w:rPr>
        <w:t>Cualquier congestión causada por la estación de peaje que pueda causar que la fila alcance el túnel debe ser evitada mediante medidas adecuadas (p.ej. provey</w:t>
      </w:r>
      <w:r>
        <w:rPr>
          <w:rFonts w:ascii="Work Sans" w:eastAsia="Times New Roman" w:hAnsi="Work Sans" w:cs="Times New Roman"/>
          <w:i/>
          <w:kern w:val="0"/>
          <w:sz w:val="18"/>
          <w:szCs w:val="18"/>
          <w:lang w:val="es-CO" w:eastAsia="es-CO" w:bidi="ar-SA"/>
        </w:rPr>
        <w:t>endo suficiente espacio entre la salida del túnel y el peaje para la fila de los vehículos, cierres automáticos del túnel si la fila alcanza cierto punto, etc.). Debe asegurarse que los vehículos dentro del túnel puedan salir del túnel en cualquier situaci</w:t>
      </w:r>
      <w:r>
        <w:rPr>
          <w:rFonts w:ascii="Work Sans" w:eastAsia="Times New Roman" w:hAnsi="Work Sans" w:cs="Times New Roman"/>
          <w:i/>
          <w:kern w:val="0"/>
          <w:sz w:val="18"/>
          <w:szCs w:val="18"/>
          <w:lang w:val="es-CO" w:eastAsia="es-CO" w:bidi="ar-SA"/>
        </w:rPr>
        <w:t>ón sin ser obstaculizados por los vehículos que hacen fila frente a la estación de peaje.</w:t>
      </w:r>
    </w:p>
    <w:p w:rsidR="00CA4A39" w:rsidRDefault="00CA4A39">
      <w:pPr>
        <w:widowControl/>
        <w:suppressAutoHyphens w:val="0"/>
        <w:autoSpaceDE w:val="0"/>
        <w:ind w:left="851" w:right="900"/>
        <w:jc w:val="both"/>
        <w:textAlignment w:val="auto"/>
        <w:rPr>
          <w:rFonts w:ascii="Work Sans" w:eastAsia="Times New Roman" w:hAnsi="Work Sans" w:cs="Times New Roman"/>
          <w:i/>
          <w:kern w:val="0"/>
          <w:sz w:val="18"/>
          <w:szCs w:val="18"/>
          <w:lang w:val="es-CO" w:eastAsia="es-CO" w:bidi="ar-SA"/>
        </w:rPr>
      </w:pPr>
    </w:p>
    <w:p w:rsidR="00CA4A39" w:rsidRDefault="00896237">
      <w:pPr>
        <w:widowControl/>
        <w:suppressAutoHyphens w:val="0"/>
        <w:autoSpaceDE w:val="0"/>
        <w:ind w:left="851" w:right="900"/>
        <w:jc w:val="both"/>
        <w:textAlignment w:val="auto"/>
        <w:rPr>
          <w:rFonts w:ascii="Work Sans" w:eastAsia="Times New Roman" w:hAnsi="Work Sans" w:cs="Times New Roman"/>
          <w:i/>
          <w:kern w:val="0"/>
          <w:sz w:val="18"/>
          <w:szCs w:val="18"/>
          <w:lang w:val="es-CO" w:eastAsia="es-CO" w:bidi="ar-SA"/>
        </w:rPr>
      </w:pPr>
      <w:r>
        <w:rPr>
          <w:rFonts w:ascii="Work Sans" w:eastAsia="Times New Roman" w:hAnsi="Work Sans" w:cs="Times New Roman"/>
          <w:i/>
          <w:kern w:val="0"/>
          <w:sz w:val="18"/>
          <w:szCs w:val="18"/>
          <w:lang w:val="es-CO" w:eastAsia="es-CO" w:bidi="ar-SA"/>
        </w:rPr>
        <w:t xml:space="preserve">Sin embargo, desde el punto de vista de la seguridad la mejor solución sería la de desplazar la estación de peaje al lado occidental del túnel. Reubicar la estación </w:t>
      </w:r>
      <w:r>
        <w:rPr>
          <w:rFonts w:ascii="Work Sans" w:eastAsia="Times New Roman" w:hAnsi="Work Sans" w:cs="Times New Roman"/>
          <w:i/>
          <w:kern w:val="0"/>
          <w:sz w:val="18"/>
          <w:szCs w:val="18"/>
          <w:lang w:val="es-CO" w:eastAsia="es-CO" w:bidi="ar-SA"/>
        </w:rPr>
        <w:t>de peaje al lado de entrada del túnel también tendría otros efectos positivos sobre su seguridad” (…)</w:t>
      </w:r>
    </w:p>
    <w:p w:rsidR="00CA4A39" w:rsidRDefault="00CA4A39">
      <w:pPr>
        <w:pStyle w:val="Prrafodelista"/>
        <w:ind w:left="567" w:right="616"/>
        <w:jc w:val="both"/>
        <w:rPr>
          <w:rFonts w:ascii="Work Sans" w:hAnsi="Work Sans" w:cs="Times New Roman"/>
          <w:i/>
          <w:kern w:val="0"/>
          <w:sz w:val="18"/>
          <w:szCs w:val="18"/>
          <w:lang w:val="es-CO" w:eastAsia="es-CO"/>
        </w:rPr>
      </w:pPr>
    </w:p>
    <w:p w:rsidR="00CA4A39" w:rsidRDefault="00896237">
      <w:pPr>
        <w:pStyle w:val="Prrafodelista"/>
        <w:ind w:left="567" w:right="616"/>
        <w:jc w:val="both"/>
        <w:rPr>
          <w:rFonts w:ascii="Work Sans" w:hAnsi="Work Sans" w:cs="Times New Roman"/>
          <w:i/>
          <w:kern w:val="0"/>
          <w:sz w:val="18"/>
          <w:szCs w:val="18"/>
          <w:lang w:val="es-CO" w:eastAsia="es-CO"/>
        </w:rPr>
      </w:pPr>
      <w:r>
        <w:rPr>
          <w:rFonts w:ascii="Work Sans" w:hAnsi="Work Sans" w:cs="Times New Roman"/>
          <w:i/>
          <w:kern w:val="0"/>
          <w:sz w:val="18"/>
          <w:szCs w:val="18"/>
          <w:lang w:val="es-CO" w:eastAsia="es-CO"/>
        </w:rPr>
        <w:t>4. El sitio donde actualmente se encuentra la estación de peaje de Cajamarca, por las condiciones geológicas inestables que se registran en la zona, ha i</w:t>
      </w:r>
      <w:r>
        <w:rPr>
          <w:rFonts w:ascii="Work Sans" w:hAnsi="Work Sans" w:cs="Times New Roman"/>
          <w:i/>
          <w:kern w:val="0"/>
          <w:sz w:val="18"/>
          <w:szCs w:val="18"/>
          <w:lang w:val="es-CO" w:eastAsia="es-CO"/>
        </w:rPr>
        <w:t>mpedido la ampliación en los carriles de recaudo que posee, al estar localizado en un lugar donde se presenta un talud superior en el costado derecho y un talud inferior en el costado izquierdo, en el sentido del abscisado, que no hacen posible la adecuaci</w:t>
      </w:r>
      <w:r>
        <w:rPr>
          <w:rFonts w:ascii="Work Sans" w:hAnsi="Work Sans" w:cs="Times New Roman"/>
          <w:i/>
          <w:kern w:val="0"/>
          <w:sz w:val="18"/>
          <w:szCs w:val="18"/>
          <w:lang w:val="es-CO" w:eastAsia="es-CO"/>
        </w:rPr>
        <w:t>ón y ampliación de las calzadas hacia ninguno de los lados, requiriendo, en consecuencia, su reubicación en dos (2) sitios cercanos a los portales de acceso y salida del túnel de la Línea, toda vez que la estación actual, al operar solamente con dos (2) ca</w:t>
      </w:r>
      <w:r>
        <w:rPr>
          <w:rFonts w:ascii="Work Sans" w:hAnsi="Work Sans" w:cs="Times New Roman"/>
          <w:i/>
          <w:kern w:val="0"/>
          <w:sz w:val="18"/>
          <w:szCs w:val="18"/>
          <w:lang w:val="es-CO" w:eastAsia="es-CO"/>
        </w:rPr>
        <w:t>rriles de cobro, uno (1) en cada sentido del tránsito vehicular, supera la capacidad de atención de los usuarios que provengan del túnel y los que se desplacen hacia el occidente del país.</w:t>
      </w:r>
    </w:p>
    <w:p w:rsidR="00CA4A39" w:rsidRDefault="00CA4A39">
      <w:pPr>
        <w:pStyle w:val="Prrafodelista"/>
        <w:ind w:left="567" w:right="616"/>
        <w:jc w:val="both"/>
        <w:rPr>
          <w:rFonts w:ascii="Work Sans" w:hAnsi="Work Sans" w:cs="Times New Roman"/>
          <w:i/>
          <w:kern w:val="0"/>
          <w:sz w:val="18"/>
          <w:szCs w:val="18"/>
          <w:lang w:val="es-CO" w:eastAsia="es-CO"/>
        </w:rPr>
      </w:pPr>
    </w:p>
    <w:p w:rsidR="00CA4A39" w:rsidRDefault="00896237">
      <w:pPr>
        <w:pStyle w:val="Prrafodelista"/>
        <w:ind w:left="567" w:right="616"/>
        <w:jc w:val="both"/>
        <w:rPr>
          <w:rFonts w:ascii="Work Sans" w:hAnsi="Work Sans" w:cs="Times New Roman"/>
          <w:i/>
          <w:kern w:val="0"/>
          <w:sz w:val="18"/>
          <w:szCs w:val="18"/>
          <w:lang w:val="es-CO" w:eastAsia="es-CO"/>
        </w:rPr>
      </w:pPr>
      <w:r>
        <w:rPr>
          <w:rFonts w:ascii="Work Sans" w:hAnsi="Work Sans" w:cs="Times New Roman"/>
          <w:i/>
          <w:kern w:val="0"/>
          <w:sz w:val="18"/>
          <w:szCs w:val="18"/>
          <w:lang w:val="es-CO" w:eastAsia="es-CO"/>
        </w:rPr>
        <w:t xml:space="preserve">5. Por lo anterior, y una vez analizadas las diferentes </w:t>
      </w:r>
      <w:r>
        <w:rPr>
          <w:rFonts w:ascii="Work Sans" w:hAnsi="Work Sans" w:cs="Times New Roman"/>
          <w:i/>
          <w:kern w:val="0"/>
          <w:sz w:val="18"/>
          <w:szCs w:val="18"/>
          <w:lang w:val="es-CO" w:eastAsia="es-CO"/>
        </w:rPr>
        <w:t>alternativas de reubicación de la estación de peaje mencionada, y con base en el estudio elaborado por la Unión Temporal Disico – Comsa - GyC (UT-DCG), en ejecución del Contrato No. 1759 de 2015, se consideró apropiado desde el punto de vista técnico y ope</w:t>
      </w:r>
      <w:r>
        <w:rPr>
          <w:rFonts w:ascii="Work Sans" w:hAnsi="Work Sans" w:cs="Times New Roman"/>
          <w:i/>
          <w:kern w:val="0"/>
          <w:sz w:val="18"/>
          <w:szCs w:val="18"/>
          <w:lang w:val="es-CO" w:eastAsia="es-CO"/>
        </w:rPr>
        <w:t>rativo, separar la estación en dos (2) sitios diferentes, localizados en cada uno de los portales del túnel cuando se habilite en un solo sentido tanto la vía antigua en el sentido Cajamarca – Calarcá, como el mismo túnel que operará en sentido Calarcá – C</w:t>
      </w:r>
      <w:r>
        <w:rPr>
          <w:rFonts w:ascii="Work Sans" w:hAnsi="Work Sans" w:cs="Times New Roman"/>
          <w:i/>
          <w:kern w:val="0"/>
          <w:sz w:val="18"/>
          <w:szCs w:val="18"/>
          <w:lang w:val="es-CO" w:eastAsia="es-CO"/>
        </w:rPr>
        <w:t>ajamarca. Esto, con el fin de minimizar la posibilidad de que se presenten congestiones o represamientos al interior del mismo generados por la operación de recaudo de peaje, y a fin de garantizar los estándares de calidad y los niveles de servicio óptimos</w:t>
      </w:r>
      <w:r>
        <w:rPr>
          <w:rFonts w:ascii="Work Sans" w:hAnsi="Work Sans" w:cs="Times New Roman"/>
          <w:i/>
          <w:kern w:val="0"/>
          <w:sz w:val="18"/>
          <w:szCs w:val="18"/>
          <w:lang w:val="es-CO" w:eastAsia="es-CO"/>
        </w:rPr>
        <w:t xml:space="preserve"> para un proyecto de gran envergadura. Adicionalmente, se tuvo en cuenta la localización de dichas estaciones en sitios donde se dispone de zonas libres de la Nación, que en un futuro puedan ser utilizadas para la construcción de carriles de cobro adiciona</w:t>
      </w:r>
      <w:r>
        <w:rPr>
          <w:rFonts w:ascii="Work Sans" w:hAnsi="Work Sans" w:cs="Times New Roman"/>
          <w:i/>
          <w:kern w:val="0"/>
          <w:sz w:val="18"/>
          <w:szCs w:val="18"/>
          <w:lang w:val="es-CO" w:eastAsia="es-CO"/>
        </w:rPr>
        <w:t xml:space="preserve">les, en la medida en que las condiciones de flujo vehicular lo exijan. </w:t>
      </w:r>
    </w:p>
    <w:p w:rsidR="00CA4A39" w:rsidRDefault="00CA4A39">
      <w:pPr>
        <w:pStyle w:val="Prrafodelista"/>
        <w:ind w:left="567" w:right="616"/>
        <w:jc w:val="both"/>
        <w:rPr>
          <w:rFonts w:ascii="Work Sans" w:hAnsi="Work Sans" w:cs="Times New Roman"/>
          <w:i/>
          <w:kern w:val="0"/>
          <w:sz w:val="18"/>
          <w:szCs w:val="18"/>
          <w:lang w:val="es-CO" w:eastAsia="es-CO"/>
        </w:rPr>
      </w:pPr>
    </w:p>
    <w:p w:rsidR="00CA4A39" w:rsidRDefault="00896237">
      <w:pPr>
        <w:pStyle w:val="Prrafodelista"/>
        <w:ind w:left="567" w:right="616"/>
        <w:jc w:val="both"/>
        <w:rPr>
          <w:rFonts w:ascii="Work Sans" w:hAnsi="Work Sans" w:cs="Times New Roman"/>
          <w:i/>
          <w:kern w:val="0"/>
          <w:sz w:val="18"/>
          <w:szCs w:val="18"/>
          <w:lang w:val="es-CO" w:eastAsia="es-CO"/>
        </w:rPr>
      </w:pPr>
      <w:r>
        <w:rPr>
          <w:rFonts w:ascii="Work Sans" w:hAnsi="Work Sans" w:cs="Times New Roman"/>
          <w:i/>
          <w:kern w:val="0"/>
          <w:sz w:val="18"/>
          <w:szCs w:val="18"/>
          <w:lang w:val="es-CO" w:eastAsia="es-CO"/>
        </w:rPr>
        <w:t>6. Los sitios definidos para la reubicación de la estación de peaje Cajamarca, se ubican en los PRs 15+0550 y 36+0010 de la misma carretera y Ruta 4003, en los portales Américas (de a</w:t>
      </w:r>
      <w:r>
        <w:rPr>
          <w:rFonts w:ascii="Work Sans" w:hAnsi="Work Sans" w:cs="Times New Roman"/>
          <w:i/>
          <w:kern w:val="0"/>
          <w:sz w:val="18"/>
          <w:szCs w:val="18"/>
          <w:lang w:val="es-CO" w:eastAsia="es-CO"/>
        </w:rPr>
        <w:t xml:space="preserve">cceso al túnel) y Bermellón (de salida del mismo), respectivamente, y contarán con cuatro (4) carriles para el cobro del peaje en cada estación, de acuerdo al sentido del tránsito vehicular. Lo anterior, sin duda mejorará y brindará un adecuado servicio a </w:t>
      </w:r>
      <w:r>
        <w:rPr>
          <w:rFonts w:ascii="Work Sans" w:hAnsi="Work Sans" w:cs="Times New Roman"/>
          <w:i/>
          <w:kern w:val="0"/>
          <w:sz w:val="18"/>
          <w:szCs w:val="18"/>
          <w:lang w:val="es-CO" w:eastAsia="es-CO"/>
        </w:rPr>
        <w:t>los usuarios de la vía acorde con el mejoramiento en las condiciones de movilidad y transitabilidad que se presentarán con la puesta en servicio del Túnel de La Línea y  demás obras enunciadas.</w:t>
      </w:r>
    </w:p>
    <w:p w:rsidR="00CA4A39" w:rsidRDefault="00CA4A39">
      <w:pPr>
        <w:pStyle w:val="Textoindependiente"/>
        <w:ind w:left="567" w:right="616"/>
        <w:jc w:val="both"/>
        <w:rPr>
          <w:rFonts w:ascii="Work Sans" w:eastAsia="Times New Roman" w:hAnsi="Work Sans" w:cs="Times New Roman"/>
          <w:i/>
          <w:kern w:val="0"/>
          <w:sz w:val="18"/>
          <w:szCs w:val="18"/>
          <w:lang w:val="es-CO" w:eastAsia="es-CO" w:bidi="ar-SA"/>
        </w:rPr>
      </w:pPr>
    </w:p>
    <w:p w:rsidR="00CA4A39" w:rsidRDefault="00896237">
      <w:pPr>
        <w:pStyle w:val="Textoindependiente"/>
        <w:ind w:left="567" w:right="616"/>
        <w:jc w:val="both"/>
        <w:rPr>
          <w:rFonts w:ascii="Work Sans" w:eastAsia="Times New Roman" w:hAnsi="Work Sans" w:cs="Times New Roman"/>
          <w:i/>
          <w:kern w:val="0"/>
          <w:sz w:val="18"/>
          <w:szCs w:val="18"/>
          <w:lang w:val="es-CO" w:eastAsia="es-CO" w:bidi="ar-SA"/>
        </w:rPr>
      </w:pPr>
      <w:r>
        <w:rPr>
          <w:rFonts w:ascii="Work Sans" w:eastAsia="Times New Roman" w:hAnsi="Work Sans" w:cs="Times New Roman"/>
          <w:i/>
          <w:kern w:val="0"/>
          <w:sz w:val="18"/>
          <w:szCs w:val="18"/>
          <w:lang w:val="es-CO" w:eastAsia="es-CO" w:bidi="ar-SA"/>
        </w:rPr>
        <w:t>7. Que durante los días 23, 24 y 25 de junio de 2020, se desa</w:t>
      </w:r>
      <w:r>
        <w:rPr>
          <w:rFonts w:ascii="Work Sans" w:eastAsia="Times New Roman" w:hAnsi="Work Sans" w:cs="Times New Roman"/>
          <w:i/>
          <w:kern w:val="0"/>
          <w:sz w:val="18"/>
          <w:szCs w:val="18"/>
          <w:lang w:val="es-CO" w:eastAsia="es-CO" w:bidi="ar-SA"/>
        </w:rPr>
        <w:t xml:space="preserve">rrollaron reuniones de socialización del proyecto con las Autoridades locales y comunidad en general de los municipios que conforman el área de influencia de la estación de peaje Cajamarca, es decir, los municipios de Calarcá (Quindío), Cajamarca (Tolima) </w:t>
      </w:r>
      <w:r>
        <w:rPr>
          <w:rFonts w:ascii="Work Sans" w:eastAsia="Times New Roman" w:hAnsi="Work Sans" w:cs="Times New Roman"/>
          <w:i/>
          <w:kern w:val="0"/>
          <w:sz w:val="18"/>
          <w:szCs w:val="18"/>
          <w:lang w:val="es-CO" w:eastAsia="es-CO" w:bidi="ar-SA"/>
        </w:rPr>
        <w:t>y Salento (Quindío), en las cuales se socializó la reubicación de la estación referida y el avance en las obras de construcción que adelanta el INVÍAS, sin que se hubieran presentado observaciones de ninguna índole por parte de los asistentes, tal como que</w:t>
      </w:r>
      <w:r>
        <w:rPr>
          <w:rFonts w:ascii="Work Sans" w:eastAsia="Times New Roman" w:hAnsi="Work Sans" w:cs="Times New Roman"/>
          <w:i/>
          <w:kern w:val="0"/>
          <w:sz w:val="18"/>
          <w:szCs w:val="18"/>
          <w:lang w:val="es-CO" w:eastAsia="es-CO" w:bidi="ar-SA"/>
        </w:rPr>
        <w:t>dó registrado en las actas correspondientes. (…)”</w:t>
      </w:r>
    </w:p>
    <w:p w:rsidR="00CA4A39" w:rsidRDefault="00CA4A39">
      <w:pPr>
        <w:pStyle w:val="Textoindependiente"/>
        <w:ind w:right="49"/>
        <w:jc w:val="both"/>
        <w:rPr>
          <w:rFonts w:ascii="Work Sans" w:eastAsia="DengXian Light" w:hAnsi="Work Sans" w:cs="Arial"/>
          <w:sz w:val="7"/>
          <w:lang w:bidi="ar-SA"/>
        </w:rPr>
      </w:pPr>
    </w:p>
    <w:p w:rsidR="00CA4A39" w:rsidRDefault="00896237">
      <w:pPr>
        <w:pStyle w:val="Textoindependiente"/>
        <w:ind w:right="49"/>
        <w:jc w:val="both"/>
        <w:rPr>
          <w:rFonts w:ascii="Work Sans" w:eastAsia="DengXian Light" w:hAnsi="Work Sans" w:cs="Arial"/>
          <w:sz w:val="20"/>
          <w:szCs w:val="20"/>
          <w:lang w:bidi="ar-SA"/>
        </w:rPr>
      </w:pPr>
      <w:r>
        <w:rPr>
          <w:rFonts w:ascii="Work Sans" w:eastAsia="DengXian Light" w:hAnsi="Work Sans" w:cs="Arial"/>
          <w:sz w:val="20"/>
          <w:szCs w:val="20"/>
          <w:lang w:bidi="ar-SA"/>
        </w:rPr>
        <w:t>Que la Jefe de la Oficina de Regulación Económica del Ministerio de Transporte, mediante memorando 20201410052993 del 5 de agosto de 2020, emitió concepto previo vinculante favorable para la reubicación de</w:t>
      </w:r>
      <w:r>
        <w:rPr>
          <w:rFonts w:ascii="Work Sans" w:eastAsia="DengXian Light" w:hAnsi="Work Sans" w:cs="Arial"/>
          <w:sz w:val="20"/>
          <w:szCs w:val="20"/>
          <w:lang w:bidi="ar-SA"/>
        </w:rPr>
        <w:t xml:space="preserve"> la estación de peaje denominada Cajamarca ubicada en el PR39+0050 de la carretera Armenia – La Línea – Ibagué, Ruta 4003 en dos estaciones que se localizarán en los PRs15+0550 y PR30+0010 de la  carretera Armenia – La Línea – Ibagué, Ruta 4003, cada una d</w:t>
      </w:r>
      <w:r>
        <w:rPr>
          <w:rFonts w:ascii="Work Sans" w:eastAsia="DengXian Light" w:hAnsi="Work Sans" w:cs="Arial"/>
          <w:sz w:val="20"/>
          <w:szCs w:val="20"/>
          <w:lang w:bidi="ar-SA"/>
        </w:rPr>
        <w:t xml:space="preserve">e ellas efectuando el recaudo en el sentido del tránsito vehicular. </w:t>
      </w:r>
    </w:p>
    <w:p w:rsidR="00CA4A39" w:rsidRDefault="00896237">
      <w:pPr>
        <w:tabs>
          <w:tab w:val="left" w:pos="8505"/>
        </w:tabs>
        <w:autoSpaceDE w:val="0"/>
        <w:jc w:val="both"/>
        <w:rPr>
          <w:rFonts w:ascii="Work Sans" w:eastAsia="DengXian Light" w:hAnsi="Work Sans" w:cs="Arial"/>
          <w:sz w:val="20"/>
          <w:szCs w:val="20"/>
          <w:lang w:bidi="ar-SA"/>
        </w:rPr>
      </w:pPr>
      <w:r>
        <w:rPr>
          <w:rFonts w:ascii="Work Sans" w:eastAsia="DengXian Light" w:hAnsi="Work Sans" w:cs="Arial"/>
          <w:sz w:val="20"/>
          <w:szCs w:val="20"/>
          <w:lang w:bidi="ar-SA"/>
        </w:rPr>
        <w:t>Que el contenido de la presente resolución fue publicado en la página web del Ministerio de Transporte y en la página Web del Instituto Nacional de Vías, en cumplimiento de lo determinado</w:t>
      </w:r>
      <w:r>
        <w:rPr>
          <w:rFonts w:ascii="Work Sans" w:eastAsia="DengXian Light" w:hAnsi="Work Sans" w:cs="Arial"/>
          <w:sz w:val="20"/>
          <w:szCs w:val="20"/>
          <w:lang w:bidi="ar-SA"/>
        </w:rPr>
        <w:t xml:space="preserve"> en el numeral 8 del artículo 8° de la Ley 1437 de 2011, Decreto 1081 de 2015 modificado por el Decreto 270 de 2017, con el objeto de recibir opiniones, sugerencias o propuestas alternativas y mediante certificaciones del XXXXXXX expedidas por el Ministeri</w:t>
      </w:r>
      <w:r>
        <w:rPr>
          <w:rFonts w:ascii="Work Sans" w:eastAsia="DengXian Light" w:hAnsi="Work Sans" w:cs="Arial"/>
          <w:sz w:val="20"/>
          <w:szCs w:val="20"/>
          <w:lang w:bidi="ar-SA"/>
        </w:rPr>
        <w:t>o de Transporte y el Instituto Nacional de Vías se informó que XXXXXXX.</w:t>
      </w:r>
    </w:p>
    <w:p w:rsidR="00CA4A39" w:rsidRDefault="00CA4A39">
      <w:pPr>
        <w:autoSpaceDE w:val="0"/>
        <w:jc w:val="both"/>
        <w:rPr>
          <w:rFonts w:ascii="Work Sans" w:eastAsia="Calibri" w:hAnsi="Work Sans" w:cs="Arial"/>
          <w:kern w:val="0"/>
          <w:sz w:val="20"/>
          <w:szCs w:val="20"/>
          <w:lang w:val="es-CO" w:eastAsia="en-US" w:bidi="ar-SA"/>
        </w:rPr>
      </w:pPr>
    </w:p>
    <w:p w:rsidR="00CA4A39" w:rsidRDefault="00896237">
      <w:pPr>
        <w:autoSpaceDE w:val="0"/>
        <w:jc w:val="both"/>
        <w:rPr>
          <w:rFonts w:ascii="Work Sans" w:eastAsia="DengXian Light" w:hAnsi="Work Sans" w:cs="Arial"/>
          <w:sz w:val="20"/>
          <w:szCs w:val="20"/>
          <w:lang w:bidi="ar-SA"/>
        </w:rPr>
      </w:pPr>
      <w:r>
        <w:rPr>
          <w:rFonts w:ascii="Work Sans" w:eastAsia="DengXian Light" w:hAnsi="Work Sans" w:cs="Arial"/>
          <w:sz w:val="20"/>
          <w:szCs w:val="20"/>
          <w:lang w:bidi="ar-SA"/>
        </w:rPr>
        <w:t xml:space="preserve">Que la Oficina Asesora de Jurídica conservará los documentos asociados a la publicación del presente acto administrativo. Todo ello en concordancia con las políticas de gestión </w:t>
      </w:r>
      <w:r>
        <w:rPr>
          <w:rFonts w:ascii="Work Sans" w:eastAsia="DengXian Light" w:hAnsi="Work Sans" w:cs="Arial"/>
          <w:sz w:val="20"/>
          <w:szCs w:val="20"/>
          <w:lang w:bidi="ar-SA"/>
        </w:rPr>
        <w:t>documental y de archivo de la entidad.</w:t>
      </w:r>
    </w:p>
    <w:p w:rsidR="00CA4A39" w:rsidRDefault="00CA4A39">
      <w:pPr>
        <w:autoSpaceDE w:val="0"/>
        <w:jc w:val="both"/>
        <w:rPr>
          <w:rFonts w:ascii="Work Sans" w:eastAsia="Calibri" w:hAnsi="Work Sans" w:cs="Arial"/>
          <w:kern w:val="0"/>
          <w:sz w:val="20"/>
          <w:szCs w:val="20"/>
          <w:lang w:val="es-CO" w:eastAsia="en-US" w:bidi="ar-SA"/>
        </w:rPr>
      </w:pPr>
    </w:p>
    <w:p w:rsidR="00CA4A39" w:rsidRDefault="00896237">
      <w:pPr>
        <w:autoSpaceDE w:val="0"/>
        <w:jc w:val="both"/>
        <w:rPr>
          <w:rFonts w:ascii="Work Sans" w:eastAsia="Calibri" w:hAnsi="Work Sans" w:cs="Arial"/>
          <w:kern w:val="0"/>
          <w:sz w:val="20"/>
          <w:szCs w:val="20"/>
          <w:lang w:val="es-CO" w:eastAsia="en-US" w:bidi="ar-SA"/>
        </w:rPr>
      </w:pPr>
      <w:r>
        <w:rPr>
          <w:rFonts w:ascii="Work Sans" w:eastAsia="Calibri" w:hAnsi="Work Sans" w:cs="Arial"/>
          <w:kern w:val="0"/>
          <w:sz w:val="20"/>
          <w:szCs w:val="20"/>
          <w:lang w:val="es-CO" w:eastAsia="en-US" w:bidi="ar-SA"/>
        </w:rPr>
        <w:t>En mérito de lo expuesto,</w:t>
      </w:r>
    </w:p>
    <w:p w:rsidR="00CA4A39" w:rsidRDefault="00CA4A39">
      <w:pPr>
        <w:autoSpaceDE w:val="0"/>
        <w:jc w:val="both"/>
        <w:rPr>
          <w:rFonts w:ascii="Work Sans" w:eastAsia="DengXian Light" w:hAnsi="Work Sans" w:cs="Arial"/>
          <w:sz w:val="20"/>
          <w:szCs w:val="20"/>
          <w:shd w:val="clear" w:color="auto" w:fill="FFFF00"/>
        </w:rPr>
      </w:pPr>
    </w:p>
    <w:p w:rsidR="00CA4A39" w:rsidRDefault="00896237">
      <w:pPr>
        <w:pStyle w:val="Standard"/>
        <w:autoSpaceDE w:val="0"/>
        <w:jc w:val="center"/>
        <w:rPr>
          <w:rFonts w:ascii="Work Sans" w:eastAsia="Calibri" w:hAnsi="Work Sans" w:cs="Arial"/>
          <w:b/>
          <w:kern w:val="0"/>
          <w:sz w:val="20"/>
          <w:lang w:val="es-CO" w:eastAsia="en-US"/>
        </w:rPr>
      </w:pPr>
      <w:r>
        <w:rPr>
          <w:rFonts w:ascii="Work Sans" w:eastAsia="Calibri" w:hAnsi="Work Sans" w:cs="Arial"/>
          <w:b/>
          <w:kern w:val="0"/>
          <w:sz w:val="20"/>
          <w:lang w:val="es-CO" w:eastAsia="en-US"/>
        </w:rPr>
        <w:t>RESUELVE:</w:t>
      </w:r>
    </w:p>
    <w:p w:rsidR="00CA4A39" w:rsidRDefault="00CA4A39">
      <w:pPr>
        <w:pStyle w:val="Standard"/>
        <w:autoSpaceDE w:val="0"/>
        <w:jc w:val="center"/>
        <w:rPr>
          <w:rFonts w:ascii="Work Sans" w:hAnsi="Work Sans" w:cs="Arial"/>
          <w:b/>
          <w:sz w:val="20"/>
        </w:rPr>
      </w:pPr>
    </w:p>
    <w:p w:rsidR="00CA4A39" w:rsidRDefault="00896237">
      <w:pPr>
        <w:jc w:val="both"/>
      </w:pPr>
      <w:r>
        <w:rPr>
          <w:rStyle w:val="Fuentedeprrafopredeter0"/>
          <w:rFonts w:ascii="Work Sans" w:eastAsia="Calibri" w:hAnsi="Work Sans" w:cs="Arial"/>
          <w:b/>
          <w:color w:val="000000"/>
          <w:kern w:val="0"/>
          <w:sz w:val="20"/>
          <w:szCs w:val="20"/>
          <w:lang w:val="es-CO" w:eastAsia="en-US" w:bidi="ar-SA"/>
        </w:rPr>
        <w:t xml:space="preserve">ARTÍCULO 1.- </w:t>
      </w:r>
      <w:r>
        <w:rPr>
          <w:rStyle w:val="Fuentedeprrafopredeter0"/>
          <w:rFonts w:ascii="Work Sans" w:eastAsia="Calibri" w:hAnsi="Work Sans" w:cs="Arial"/>
          <w:color w:val="000000"/>
          <w:kern w:val="0"/>
          <w:sz w:val="20"/>
          <w:szCs w:val="20"/>
          <w:lang w:val="es-CO" w:eastAsia="en-US" w:bidi="ar-SA"/>
        </w:rPr>
        <w:t>E</w:t>
      </w:r>
      <w:r>
        <w:rPr>
          <w:rFonts w:ascii="Work Sans" w:hAnsi="Work Sans" w:cs="Arial"/>
          <w:color w:val="000000"/>
          <w:sz w:val="20"/>
          <w:szCs w:val="20"/>
        </w:rPr>
        <w:t xml:space="preserve">mitir concepto vinculante previo a la reubicación de la estación de peaje denominada Cajamarca del PR39+0050 a los PRs 15+0550 bajo la denominación Túnel de La </w:t>
      </w:r>
      <w:r>
        <w:rPr>
          <w:rFonts w:ascii="Work Sans" w:hAnsi="Work Sans" w:cs="Arial"/>
          <w:color w:val="000000"/>
          <w:sz w:val="20"/>
          <w:szCs w:val="20"/>
        </w:rPr>
        <w:t>Línea – Quindío y 36+0010 bajo la denominación Túnel de La Línea – Tolima, de la carretera Armenia – La Línea – Ibagué, Ruta 4003.</w:t>
      </w:r>
    </w:p>
    <w:p w:rsidR="00CA4A39" w:rsidRDefault="00CA4A39">
      <w:pPr>
        <w:jc w:val="both"/>
        <w:rPr>
          <w:rFonts w:ascii="Work Sans" w:hAnsi="Work Sans" w:cs="Arial"/>
          <w:color w:val="000000"/>
          <w:sz w:val="20"/>
          <w:szCs w:val="20"/>
        </w:rPr>
      </w:pPr>
    </w:p>
    <w:p w:rsidR="00CA4A39" w:rsidRDefault="00896237">
      <w:pPr>
        <w:jc w:val="both"/>
      </w:pPr>
      <w:r>
        <w:rPr>
          <w:rFonts w:ascii="Work Sans" w:hAnsi="Work Sans" w:cs="Arial"/>
          <w:b/>
          <w:color w:val="000000"/>
          <w:sz w:val="20"/>
          <w:szCs w:val="20"/>
        </w:rPr>
        <w:t xml:space="preserve">PARÁGRAFO.  </w:t>
      </w:r>
      <w:r>
        <w:rPr>
          <w:rFonts w:ascii="Work Sans" w:hAnsi="Work Sans" w:cs="Arial"/>
          <w:color w:val="000000"/>
          <w:sz w:val="20"/>
          <w:szCs w:val="20"/>
        </w:rPr>
        <w:t>El cobro de las tarifas de peaje en las estaciones de peaje denominadas Túnel de La Línea – Quindío y Túnel de L</w:t>
      </w:r>
      <w:r>
        <w:rPr>
          <w:rFonts w:ascii="Work Sans" w:hAnsi="Work Sans" w:cs="Arial"/>
          <w:color w:val="000000"/>
          <w:sz w:val="20"/>
          <w:szCs w:val="20"/>
        </w:rPr>
        <w:t>a Línea – Tolima, se realizará en el sentido del tránsito vehicular.</w:t>
      </w:r>
    </w:p>
    <w:p w:rsidR="00CA4A39" w:rsidRDefault="00CA4A39">
      <w:pPr>
        <w:jc w:val="both"/>
        <w:rPr>
          <w:rFonts w:ascii="Work Sans" w:hAnsi="Work Sans" w:cs="Arial"/>
          <w:color w:val="000000"/>
          <w:sz w:val="20"/>
          <w:szCs w:val="20"/>
        </w:rPr>
      </w:pPr>
    </w:p>
    <w:p w:rsidR="00CA4A39" w:rsidRDefault="00896237">
      <w:pPr>
        <w:widowControl/>
        <w:jc w:val="both"/>
        <w:textAlignment w:val="auto"/>
      </w:pPr>
      <w:r>
        <w:rPr>
          <w:rStyle w:val="Fuentedeprrafopredeter0"/>
          <w:rFonts w:ascii="Work Sans" w:eastAsia="Calibri" w:hAnsi="Work Sans" w:cs="Arial"/>
          <w:b/>
          <w:kern w:val="0"/>
          <w:sz w:val="20"/>
          <w:szCs w:val="20"/>
          <w:lang w:val="es-CO" w:eastAsia="en-US" w:bidi="ar-SA"/>
        </w:rPr>
        <w:t>ARTÍCULO 2.-</w:t>
      </w:r>
      <w:r>
        <w:rPr>
          <w:rStyle w:val="Fuentedeprrafopredeter0"/>
          <w:rFonts w:ascii="Work Sans" w:eastAsia="Calibri" w:hAnsi="Work Sans" w:cs="Arial"/>
          <w:kern w:val="0"/>
          <w:sz w:val="20"/>
          <w:szCs w:val="20"/>
          <w:lang w:val="es-CO" w:eastAsia="en-US" w:bidi="ar-SA"/>
        </w:rPr>
        <w:t xml:space="preserve"> La presente resolución rige a partir de la fecha de su publicación en el diario oficial.</w:t>
      </w:r>
    </w:p>
    <w:p w:rsidR="00CA4A39" w:rsidRDefault="00CA4A39">
      <w:pPr>
        <w:jc w:val="both"/>
      </w:pPr>
    </w:p>
    <w:p w:rsidR="00CA4A39" w:rsidRDefault="00896237">
      <w:pPr>
        <w:widowControl/>
        <w:jc w:val="center"/>
        <w:textAlignment w:val="auto"/>
        <w:rPr>
          <w:rFonts w:ascii="Work Sans" w:eastAsia="Calibri" w:hAnsi="Work Sans" w:cs="Arial"/>
          <w:b/>
          <w:kern w:val="0"/>
          <w:sz w:val="20"/>
          <w:szCs w:val="20"/>
          <w:lang w:val="es-CO" w:eastAsia="en-US" w:bidi="ar-SA"/>
        </w:rPr>
      </w:pPr>
      <w:r>
        <w:rPr>
          <w:rFonts w:ascii="Work Sans" w:eastAsia="Calibri" w:hAnsi="Work Sans" w:cs="Arial"/>
          <w:b/>
          <w:kern w:val="0"/>
          <w:sz w:val="20"/>
          <w:szCs w:val="20"/>
          <w:lang w:val="es-CO" w:eastAsia="en-US" w:bidi="ar-SA"/>
        </w:rPr>
        <w:t>PUBLIQUESE Y CUMPLASE</w:t>
      </w:r>
    </w:p>
    <w:p w:rsidR="00CA4A39" w:rsidRDefault="00CA4A39">
      <w:pPr>
        <w:widowControl/>
        <w:jc w:val="center"/>
        <w:textAlignment w:val="auto"/>
        <w:rPr>
          <w:rFonts w:ascii="Work Sans" w:eastAsia="Calibri" w:hAnsi="Work Sans" w:cs="Arial"/>
          <w:kern w:val="0"/>
          <w:sz w:val="20"/>
          <w:szCs w:val="20"/>
          <w:lang w:val="es-CO" w:eastAsia="en-US" w:bidi="ar-SA"/>
        </w:rPr>
      </w:pPr>
    </w:p>
    <w:p w:rsidR="00CA4A39" w:rsidRDefault="00CA4A39">
      <w:pPr>
        <w:widowControl/>
        <w:jc w:val="center"/>
        <w:textAlignment w:val="auto"/>
        <w:rPr>
          <w:rFonts w:ascii="Work Sans" w:eastAsia="Calibri" w:hAnsi="Work Sans" w:cs="Arial"/>
          <w:kern w:val="0"/>
          <w:sz w:val="20"/>
          <w:szCs w:val="20"/>
          <w:lang w:val="es-CO" w:eastAsia="en-US" w:bidi="ar-SA"/>
        </w:rPr>
      </w:pPr>
    </w:p>
    <w:p w:rsidR="00CA4A39" w:rsidRDefault="00CA4A39">
      <w:pPr>
        <w:widowControl/>
        <w:jc w:val="center"/>
        <w:textAlignment w:val="auto"/>
        <w:rPr>
          <w:rFonts w:ascii="Work Sans" w:eastAsia="Calibri" w:hAnsi="Work Sans" w:cs="Arial"/>
          <w:kern w:val="0"/>
          <w:sz w:val="20"/>
          <w:szCs w:val="20"/>
          <w:lang w:val="es-CO" w:eastAsia="en-US" w:bidi="ar-SA"/>
        </w:rPr>
      </w:pPr>
    </w:p>
    <w:p w:rsidR="00CA4A39" w:rsidRDefault="00CA4A39">
      <w:pPr>
        <w:widowControl/>
        <w:jc w:val="center"/>
        <w:textAlignment w:val="auto"/>
        <w:rPr>
          <w:rFonts w:ascii="Work Sans" w:eastAsia="Calibri" w:hAnsi="Work Sans" w:cs="Arial"/>
          <w:kern w:val="0"/>
          <w:sz w:val="20"/>
          <w:szCs w:val="20"/>
          <w:lang w:val="es-CO" w:eastAsia="en-US" w:bidi="ar-SA"/>
        </w:rPr>
      </w:pPr>
    </w:p>
    <w:p w:rsidR="00CA4A39" w:rsidRDefault="00CA4A39">
      <w:pPr>
        <w:widowControl/>
        <w:jc w:val="center"/>
        <w:textAlignment w:val="auto"/>
        <w:rPr>
          <w:rFonts w:ascii="Work Sans" w:eastAsia="Calibri" w:hAnsi="Work Sans" w:cs="Arial"/>
          <w:kern w:val="0"/>
          <w:sz w:val="20"/>
          <w:szCs w:val="20"/>
          <w:lang w:val="es-CO" w:eastAsia="en-US" w:bidi="ar-SA"/>
        </w:rPr>
      </w:pPr>
    </w:p>
    <w:p w:rsidR="00CA4A39" w:rsidRDefault="00CA4A39">
      <w:pPr>
        <w:pStyle w:val="Textocomentario"/>
        <w:spacing w:line="204" w:lineRule="auto"/>
        <w:jc w:val="center"/>
        <w:rPr>
          <w:rFonts w:ascii="Work Sans" w:hAnsi="Work Sans" w:cs="Futura Bk BT"/>
          <w:b/>
          <w:sz w:val="21"/>
          <w:szCs w:val="21"/>
          <w:lang w:val="es-MX"/>
        </w:rPr>
      </w:pPr>
    </w:p>
    <w:p w:rsidR="00CA4A39" w:rsidRDefault="00CA4A39">
      <w:pPr>
        <w:pStyle w:val="Standard"/>
        <w:autoSpaceDE w:val="0"/>
        <w:ind w:left="-142" w:right="-86"/>
        <w:jc w:val="center"/>
        <w:rPr>
          <w:rFonts w:ascii="Work Sans" w:hAnsi="Work Sans" w:cs="Arial"/>
          <w:sz w:val="21"/>
          <w:szCs w:val="21"/>
          <w:lang w:bidi="hi-IN"/>
        </w:rPr>
      </w:pPr>
    </w:p>
    <w:p w:rsidR="00CA4A39" w:rsidRDefault="00896237">
      <w:pPr>
        <w:pStyle w:val="Standard"/>
        <w:autoSpaceDE w:val="0"/>
        <w:ind w:left="-142" w:right="-86"/>
        <w:jc w:val="center"/>
        <w:rPr>
          <w:rFonts w:ascii="Work Sans" w:hAnsi="Work Sans" w:cs="Arial"/>
          <w:sz w:val="21"/>
          <w:szCs w:val="21"/>
          <w:lang w:val="es-CO"/>
        </w:rPr>
      </w:pPr>
      <w:r>
        <w:rPr>
          <w:rFonts w:ascii="Work Sans" w:hAnsi="Work Sans" w:cs="Arial"/>
          <w:sz w:val="21"/>
          <w:szCs w:val="21"/>
          <w:lang w:val="es-CO"/>
        </w:rPr>
        <w:t>${firma}</w:t>
      </w:r>
    </w:p>
    <w:p w:rsidR="00CA4A39" w:rsidRDefault="00CA4A39">
      <w:pPr>
        <w:widowControl/>
        <w:jc w:val="center"/>
        <w:textAlignment w:val="auto"/>
        <w:rPr>
          <w:rFonts w:ascii="Work Sans" w:eastAsia="Calibri" w:hAnsi="Work Sans" w:cs="Arial"/>
          <w:kern w:val="0"/>
          <w:sz w:val="20"/>
          <w:szCs w:val="20"/>
          <w:lang w:val="es-CO" w:eastAsia="en-US" w:bidi="ar-SA"/>
        </w:rPr>
      </w:pPr>
    </w:p>
    <w:p w:rsidR="00CA4A39" w:rsidRDefault="00896237">
      <w:pPr>
        <w:pStyle w:val="Ttulo1"/>
        <w:ind w:right="-1"/>
        <w:rPr>
          <w:rFonts w:ascii="Work Sans" w:hAnsi="Work Sans"/>
          <w:sz w:val="20"/>
        </w:rPr>
      </w:pPr>
      <w:r>
        <w:rPr>
          <w:rFonts w:ascii="Work Sans" w:hAnsi="Work Sans"/>
          <w:sz w:val="20"/>
        </w:rPr>
        <w:t>ANGELA MARÍA OROZCO GÓMEZ</w:t>
      </w:r>
    </w:p>
    <w:p w:rsidR="00CA4A39" w:rsidRDefault="00CA4A39">
      <w:pPr>
        <w:pStyle w:val="Standard"/>
      </w:pPr>
    </w:p>
    <w:p w:rsidR="00CA4A39" w:rsidRDefault="00CA4A39">
      <w:pPr>
        <w:pStyle w:val="Standard"/>
      </w:pPr>
    </w:p>
    <w:p w:rsidR="00CA4A39" w:rsidRDefault="00CA4A39">
      <w:pPr>
        <w:pStyle w:val="Standard"/>
      </w:pPr>
    </w:p>
    <w:p w:rsidR="00CA4A39" w:rsidRDefault="00896237">
      <w:pPr>
        <w:pStyle w:val="Standard"/>
      </w:pPr>
      <w:r>
        <w:rPr>
          <w:rFonts w:ascii="Work Sans" w:hAnsi="Work Sans" w:cs="Arial"/>
          <w:sz w:val="14"/>
          <w:szCs w:val="14"/>
          <w:lang w:eastAsia="es-CO"/>
        </w:rPr>
        <w:t xml:space="preserve">María </w:t>
      </w:r>
      <w:r>
        <w:rPr>
          <w:rFonts w:ascii="Work Sans" w:hAnsi="Work Sans"/>
          <w:sz w:val="14"/>
          <w:szCs w:val="14"/>
        </w:rPr>
        <w:t>Angélica Cruz Cuevas – Asesora Ministra de Transporte</w:t>
      </w:r>
    </w:p>
    <w:p w:rsidR="00CA4A39" w:rsidRDefault="00896237">
      <w:pPr>
        <w:pStyle w:val="Standard"/>
        <w:rPr>
          <w:rFonts w:ascii="Work Sans" w:hAnsi="Work Sans"/>
          <w:sz w:val="14"/>
          <w:szCs w:val="14"/>
        </w:rPr>
      </w:pPr>
      <w:r>
        <w:rPr>
          <w:rFonts w:ascii="Work Sans" w:hAnsi="Work Sans"/>
          <w:sz w:val="14"/>
          <w:szCs w:val="14"/>
        </w:rPr>
        <w:t>Juan Esteban Gil Chavarria - Director General INVIAS</w:t>
      </w:r>
    </w:p>
    <w:p w:rsidR="00CA4A39" w:rsidRDefault="00896237">
      <w:pPr>
        <w:pStyle w:val="Standard"/>
        <w:rPr>
          <w:rFonts w:ascii="Work Sans" w:hAnsi="Work Sans"/>
          <w:sz w:val="14"/>
          <w:szCs w:val="14"/>
        </w:rPr>
      </w:pPr>
      <w:r>
        <w:rPr>
          <w:rFonts w:ascii="Work Sans" w:hAnsi="Work Sans"/>
          <w:sz w:val="14"/>
          <w:szCs w:val="14"/>
        </w:rPr>
        <w:t>Pablo Augusto Alfonso Carrillo – Jefe Oficina Asesora de Jurídica, Ministerio de Transporte</w:t>
      </w:r>
    </w:p>
    <w:p w:rsidR="00CA4A39" w:rsidRDefault="00896237">
      <w:pPr>
        <w:pStyle w:val="Standard"/>
        <w:rPr>
          <w:rFonts w:ascii="Work Sans" w:hAnsi="Work Sans"/>
          <w:sz w:val="14"/>
          <w:szCs w:val="14"/>
        </w:rPr>
      </w:pPr>
      <w:r>
        <w:rPr>
          <w:rFonts w:ascii="Work Sans" w:hAnsi="Work Sans"/>
          <w:sz w:val="14"/>
          <w:szCs w:val="14"/>
        </w:rPr>
        <w:t xml:space="preserve">Mónica Alejandra Cervera Murillas – Jefe de </w:t>
      </w:r>
      <w:r>
        <w:rPr>
          <w:rFonts w:ascii="Work Sans" w:hAnsi="Work Sans"/>
          <w:sz w:val="14"/>
          <w:szCs w:val="14"/>
        </w:rPr>
        <w:t>Oficina de Regulación Económica, Ministerio de Transporte</w:t>
      </w:r>
    </w:p>
    <w:p w:rsidR="00CA4A39" w:rsidRDefault="00896237">
      <w:pPr>
        <w:pStyle w:val="Standard"/>
        <w:rPr>
          <w:rFonts w:ascii="Work Sans" w:hAnsi="Work Sans"/>
          <w:sz w:val="14"/>
          <w:szCs w:val="14"/>
        </w:rPr>
      </w:pPr>
      <w:r>
        <w:rPr>
          <w:rFonts w:ascii="Work Sans" w:hAnsi="Work Sans"/>
          <w:sz w:val="14"/>
          <w:szCs w:val="14"/>
        </w:rPr>
        <w:t>Claudia Patricia Roa Orjuela- Asesora Oficina Asesora de Jurídica, Ministerio de Transporte</w:t>
      </w:r>
    </w:p>
    <w:p w:rsidR="00CA4A39" w:rsidRDefault="00896237">
      <w:pPr>
        <w:pStyle w:val="Standard"/>
        <w:rPr>
          <w:rFonts w:ascii="Work Sans" w:hAnsi="Work Sans"/>
          <w:sz w:val="14"/>
          <w:szCs w:val="14"/>
        </w:rPr>
      </w:pPr>
      <w:r>
        <w:rPr>
          <w:rFonts w:ascii="Work Sans" w:hAnsi="Work Sans"/>
          <w:sz w:val="14"/>
          <w:szCs w:val="14"/>
        </w:rPr>
        <w:t xml:space="preserve">Laura Lucía Castillo - Asesora Dirección General - INVIAS. </w:t>
      </w:r>
    </w:p>
    <w:p w:rsidR="00CA4A39" w:rsidRDefault="00896237">
      <w:pPr>
        <w:pStyle w:val="Standard"/>
        <w:rPr>
          <w:rFonts w:ascii="Work Sans" w:hAnsi="Work Sans"/>
          <w:sz w:val="14"/>
          <w:szCs w:val="14"/>
        </w:rPr>
      </w:pPr>
      <w:r>
        <w:rPr>
          <w:rFonts w:ascii="Work Sans" w:hAnsi="Work Sans"/>
          <w:sz w:val="14"/>
          <w:szCs w:val="14"/>
        </w:rPr>
        <w:t>Beatriz Helena Garcia Guzman, Jefe Oficina Ase</w:t>
      </w:r>
      <w:r>
        <w:rPr>
          <w:rFonts w:ascii="Work Sans" w:hAnsi="Work Sans"/>
          <w:sz w:val="14"/>
          <w:szCs w:val="14"/>
        </w:rPr>
        <w:t>sora Jurídica - INVIAS.</w:t>
      </w:r>
    </w:p>
    <w:p w:rsidR="00CA4A39" w:rsidRDefault="00896237">
      <w:pPr>
        <w:pStyle w:val="Standard"/>
        <w:rPr>
          <w:rFonts w:ascii="Work Sans" w:hAnsi="Work Sans"/>
          <w:sz w:val="14"/>
          <w:szCs w:val="14"/>
        </w:rPr>
      </w:pPr>
      <w:r>
        <w:rPr>
          <w:rFonts w:ascii="Work Sans" w:hAnsi="Work Sans"/>
          <w:sz w:val="14"/>
          <w:szCs w:val="14"/>
        </w:rPr>
        <w:t>Guillermo Toro Acuña, Director Técnico - INVIAS</w:t>
      </w:r>
    </w:p>
    <w:p w:rsidR="00CA4A39" w:rsidRDefault="00896237">
      <w:pPr>
        <w:pStyle w:val="Standard"/>
        <w:rPr>
          <w:rFonts w:ascii="Work Sans" w:hAnsi="Work Sans"/>
          <w:sz w:val="14"/>
          <w:szCs w:val="14"/>
        </w:rPr>
      </w:pPr>
      <w:r>
        <w:rPr>
          <w:rFonts w:ascii="Work Sans" w:hAnsi="Work Sans"/>
          <w:sz w:val="14"/>
          <w:szCs w:val="14"/>
        </w:rPr>
        <w:t>Ramón Lobo Arias, Coordinador Grupo Peajes y Valorización INVIAS</w:t>
      </w:r>
    </w:p>
    <w:p w:rsidR="00CA4A39" w:rsidRDefault="00CA4A39">
      <w:pPr>
        <w:pStyle w:val="Standard"/>
        <w:rPr>
          <w:rFonts w:ascii="Work Sans" w:hAnsi="Work Sans"/>
          <w:sz w:val="14"/>
          <w:szCs w:val="14"/>
        </w:rPr>
      </w:pPr>
    </w:p>
    <w:sectPr w:rsidR="00CA4A39">
      <w:headerReference w:type="default" r:id="rId8"/>
      <w:headerReference w:type="first" r:id="rId9"/>
      <w:pgSz w:w="11907" w:h="18711"/>
      <w:pgMar w:top="1417" w:right="1701" w:bottom="1417" w:left="1701" w:header="850" w:footer="567" w:gutter="0"/>
      <w:pgBorders>
        <w:top w:val="single" w:sz="4" w:space="15" w:color="000000"/>
        <w:left w:val="single" w:sz="4" w:space="15" w:color="000000"/>
        <w:bottom w:val="single" w:sz="4" w:space="15" w:color="000000"/>
        <w:right w:val="single" w:sz="4" w:space="15" w:color="00000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237" w:rsidRDefault="00896237">
      <w:r>
        <w:separator/>
      </w:r>
    </w:p>
  </w:endnote>
  <w:endnote w:type="continuationSeparator" w:id="0">
    <w:p w:rsidR="00896237" w:rsidRDefault="0089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ejaVu Sans">
    <w:charset w:val="00"/>
    <w:family w:val="swiss"/>
    <w:pitch w:val="variable"/>
  </w:font>
  <w:font w:name="Lohit Devanagari">
    <w:charset w:val="00"/>
    <w:family w:val="auto"/>
    <w:pitch w:val="variable"/>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pitch w:val="fixed"/>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ork Sans">
    <w:panose1 w:val="00000500000000000000"/>
    <w:charset w:val="00"/>
    <w:family w:val="auto"/>
    <w:pitch w:val="variable"/>
    <w:sig w:usb0="00000007" w:usb1="00000001" w:usb2="00000000" w:usb3="00000000" w:csb0="00000093" w:csb1="00000000"/>
  </w:font>
  <w:font w:name="Futura Bk BT">
    <w:panose1 w:val="020B0502020204020303"/>
    <w:charset w:val="00"/>
    <w:family w:val="swiss"/>
    <w:pitch w:val="variable"/>
    <w:sig w:usb0="800000AF"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de3of9">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237" w:rsidRDefault="00896237">
      <w:r>
        <w:rPr>
          <w:color w:val="000000"/>
        </w:rPr>
        <w:separator/>
      </w:r>
    </w:p>
  </w:footnote>
  <w:footnote w:type="continuationSeparator" w:id="0">
    <w:p w:rsidR="00896237" w:rsidRDefault="00896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890" w:rsidRDefault="00896237">
    <w:pPr>
      <w:tabs>
        <w:tab w:val="left" w:pos="2505"/>
      </w:tabs>
    </w:pPr>
    <w:r>
      <w:rPr>
        <w:noProof/>
        <w:lang w:val="es-CO" w:eastAsia="es-CO" w:bidi="ar-SA"/>
      </w:rPr>
      <w:drawing>
        <wp:inline distT="0" distB="0" distL="0" distR="0">
          <wp:extent cx="2867814" cy="647879"/>
          <wp:effectExtent l="0" t="0" r="0" b="0"/>
          <wp:docPr id="1" name="Imagen 2" descr="C:\Users\soporteorfeo\Desktop\libre office plantillas ORFEO\Nuevas 2\Logo Orfeo (00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r="28896"/>
                  <a:stretch>
                    <a:fillRect/>
                  </a:stretch>
                </pic:blipFill>
                <pic:spPr>
                  <a:xfrm>
                    <a:off x="0" y="0"/>
                    <a:ext cx="2867814" cy="647879"/>
                  </a:xfrm>
                  <a:prstGeom prst="rect">
                    <a:avLst/>
                  </a:prstGeom>
                  <a:noFill/>
                  <a:ln>
                    <a:noFill/>
                    <a:prstDash/>
                  </a:ln>
                </pic:spPr>
              </pic:pic>
            </a:graphicData>
          </a:graphic>
        </wp:inline>
      </w:drawing>
    </w:r>
  </w:p>
  <w:p w:rsidR="00492890" w:rsidRDefault="00896237"/>
  <w:p w:rsidR="00492890" w:rsidRDefault="00896237">
    <w:pPr>
      <w:pStyle w:val="Encabezado"/>
      <w:jc w:val="center"/>
    </w:pPr>
    <w:r>
      <w:rPr>
        <w:rFonts w:ascii="Work Sans" w:hAnsi="Work Sans" w:cs="Arial"/>
        <w:b/>
      </w:rPr>
      <w:t>RESOLUCIÓN NÚMERO</w:t>
    </w:r>
    <w:r>
      <w:rPr>
        <w:rFonts w:ascii="Work Sans" w:hAnsi="Work Sans" w:cs="Arial"/>
        <w:b/>
        <w:sz w:val="36"/>
      </w:rPr>
      <w:t xml:space="preserve"> </w:t>
    </w:r>
    <w:r>
      <w:rPr>
        <w:rFonts w:ascii="Work Sans" w:hAnsi="Work Sans"/>
        <w:b/>
        <w:sz w:val="28"/>
      </w:rPr>
      <w:t>*RAD_S*</w:t>
    </w:r>
  </w:p>
  <w:p w:rsidR="00492890" w:rsidRDefault="00896237">
    <w:pPr>
      <w:pStyle w:val="Encabezado"/>
      <w:jc w:val="center"/>
    </w:pPr>
    <w:r>
      <w:rPr>
        <w:rFonts w:ascii="Work Sans" w:hAnsi="Work Sans"/>
        <w:sz w:val="20"/>
      </w:rPr>
      <w:t xml:space="preserve">de </w:t>
    </w:r>
    <w:r>
      <w:rPr>
        <w:rFonts w:ascii="Work Sans" w:hAnsi="Work Sans" w:cs="Arial"/>
        <w:sz w:val="20"/>
        <w:lang w:val="es-CO"/>
      </w:rPr>
      <w:t>*F_RAD_S*</w:t>
    </w:r>
  </w:p>
  <w:p w:rsidR="00492890" w:rsidRDefault="00896237">
    <w:pPr>
      <w:pStyle w:val="Encabezado"/>
      <w:jc w:val="center"/>
      <w:rPr>
        <w:rFonts w:ascii="Code3of9" w:hAnsi="Code3of9" w:cs="Tahoma"/>
        <w:sz w:val="36"/>
        <w:szCs w:val="40"/>
      </w:rPr>
    </w:pPr>
    <w:r>
      <w:rPr>
        <w:rFonts w:ascii="Code3of9" w:hAnsi="Code3of9" w:cs="Tahoma"/>
        <w:sz w:val="36"/>
        <w:szCs w:val="40"/>
      </w:rPr>
      <w:t>**RAD_S**</w:t>
    </w:r>
  </w:p>
  <w:p w:rsidR="00492890" w:rsidRDefault="00896237">
    <w:pPr>
      <w:pStyle w:val="Encabezado"/>
      <w:jc w:val="center"/>
      <w:rPr>
        <w:rFonts w:ascii="Code3of9" w:hAnsi="Code3of9" w:cs="Tahoma"/>
        <w:sz w:val="36"/>
        <w:szCs w:val="40"/>
      </w:rPr>
    </w:pPr>
  </w:p>
  <w:p w:rsidR="00492890" w:rsidRDefault="00896237">
    <w:pPr>
      <w:widowControl/>
      <w:jc w:val="center"/>
      <w:textAlignment w:val="auto"/>
      <w:rPr>
        <w:rFonts w:ascii="Work Sans" w:hAnsi="Work Sans"/>
        <w:i/>
        <w:sz w:val="18"/>
        <w:szCs w:val="18"/>
      </w:rPr>
    </w:pPr>
    <w:r>
      <w:rPr>
        <w:rFonts w:ascii="Work Sans" w:hAnsi="Work Sans"/>
        <w:i/>
        <w:sz w:val="18"/>
        <w:szCs w:val="18"/>
      </w:rPr>
      <w:t>“Por la cual se emite concepto vinculante previo a la reubicación de la estación de peaje denominada Cajamarca ubicada en la carretera Armenia – La</w:t>
    </w:r>
  </w:p>
  <w:p w:rsidR="00492890" w:rsidRDefault="00896237">
    <w:pPr>
      <w:widowControl/>
      <w:jc w:val="center"/>
      <w:textAlignment w:val="auto"/>
      <w:rPr>
        <w:rFonts w:ascii="Work Sans" w:hAnsi="Work Sans"/>
        <w:i/>
        <w:sz w:val="18"/>
        <w:szCs w:val="18"/>
      </w:rPr>
    </w:pPr>
    <w:r>
      <w:rPr>
        <w:rFonts w:ascii="Work Sans" w:hAnsi="Work Sans"/>
        <w:i/>
        <w:sz w:val="18"/>
        <w:szCs w:val="18"/>
      </w:rPr>
      <w:t>Línea – Ibagué, Ruta 4003”</w:t>
    </w:r>
  </w:p>
  <w:p w:rsidR="00492890" w:rsidRDefault="00896237">
    <w:pPr>
      <w:widowControl/>
      <w:jc w:val="center"/>
      <w:textAlignment w:val="auto"/>
      <w:rPr>
        <w:rFonts w:ascii="Work Sans" w:hAnsi="Work Sans"/>
        <w:i/>
        <w:sz w:val="20"/>
        <w:szCs w:val="20"/>
      </w:rPr>
    </w:pPr>
  </w:p>
  <w:p w:rsidR="00492890" w:rsidRDefault="00896237">
    <w:pPr>
      <w:widowControl/>
      <w:jc w:val="center"/>
      <w:textAlignment w:val="auto"/>
      <w:rPr>
        <w:rFonts w:ascii="Work Sans" w:hAnsi="Work Sans"/>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890" w:rsidRDefault="00896237">
    <w:pPr>
      <w:rPr>
        <w:lang w:val="es-CO" w:eastAsia="es-CO" w:bidi="ar-SA"/>
      </w:rPr>
    </w:pPr>
  </w:p>
  <w:p w:rsidR="00492890" w:rsidRDefault="00896237">
    <w:r>
      <w:rPr>
        <w:noProof/>
        <w:lang w:val="es-CO" w:eastAsia="es-CO" w:bidi="ar-SA"/>
      </w:rPr>
      <w:drawing>
        <wp:inline distT="0" distB="0" distL="0" distR="0">
          <wp:extent cx="2867814" cy="647879"/>
          <wp:effectExtent l="0" t="0" r="0" b="0"/>
          <wp:docPr id="2" name="Imagen 2" descr="C:\Users\soporteorfeo\Desktop\libre office plantillas ORFEO\Nuevas 2\Logo Orfeo (00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r="28896"/>
                  <a:stretch>
                    <a:fillRect/>
                  </a:stretch>
                </pic:blipFill>
                <pic:spPr>
                  <a:xfrm>
                    <a:off x="0" y="0"/>
                    <a:ext cx="2867814" cy="647879"/>
                  </a:xfrm>
                  <a:prstGeom prst="rect">
                    <a:avLst/>
                  </a:prstGeom>
                  <a:noFill/>
                  <a:ln>
                    <a:noFill/>
                    <a:prstDash/>
                  </a:ln>
                </pic:spPr>
              </pic:pic>
            </a:graphicData>
          </a:graphic>
        </wp:inline>
      </w:drawing>
    </w:r>
  </w:p>
  <w:p w:rsidR="00492890" w:rsidRDefault="00896237"/>
  <w:p w:rsidR="00492890" w:rsidRDefault="00896237">
    <w:pPr>
      <w:pStyle w:val="Encabezado"/>
      <w:jc w:val="center"/>
    </w:pPr>
    <w:r>
      <w:rPr>
        <w:rFonts w:ascii="Work Sans" w:hAnsi="Work Sans" w:cs="Arial"/>
        <w:b/>
      </w:rPr>
      <w:t xml:space="preserve">RESOLUCIÓN </w:t>
    </w:r>
    <w:r>
      <w:rPr>
        <w:rFonts w:ascii="Work Sans" w:hAnsi="Work Sans" w:cs="Arial"/>
        <w:b/>
      </w:rPr>
      <w:t>NÚMERO</w:t>
    </w:r>
    <w:r>
      <w:rPr>
        <w:rFonts w:ascii="Work Sans" w:hAnsi="Work Sans" w:cs="Arial"/>
        <w:b/>
        <w:sz w:val="36"/>
      </w:rPr>
      <w:t xml:space="preserve"> </w:t>
    </w:r>
    <w:r>
      <w:rPr>
        <w:rFonts w:ascii="Work Sans" w:hAnsi="Work Sans"/>
        <w:b/>
        <w:sz w:val="28"/>
      </w:rPr>
      <w:t>*RAD_S*</w:t>
    </w:r>
  </w:p>
  <w:p w:rsidR="00492890" w:rsidRDefault="00896237">
    <w:pPr>
      <w:pStyle w:val="Encabezado"/>
      <w:jc w:val="center"/>
    </w:pPr>
    <w:r>
      <w:rPr>
        <w:rFonts w:ascii="Work Sans" w:hAnsi="Work Sans"/>
        <w:sz w:val="20"/>
      </w:rPr>
      <w:t xml:space="preserve">de </w:t>
    </w:r>
    <w:r>
      <w:rPr>
        <w:rFonts w:ascii="Work Sans" w:hAnsi="Work Sans" w:cs="Arial"/>
        <w:sz w:val="20"/>
        <w:lang w:val="es-CO"/>
      </w:rPr>
      <w:t>*F_RAD_S*</w:t>
    </w:r>
  </w:p>
  <w:p w:rsidR="00492890" w:rsidRDefault="00896237">
    <w:pPr>
      <w:pStyle w:val="Encabezado"/>
      <w:jc w:val="center"/>
      <w:rPr>
        <w:rFonts w:ascii="Code3of9" w:hAnsi="Code3of9" w:cs="Tahoma"/>
        <w:sz w:val="36"/>
        <w:szCs w:val="40"/>
      </w:rPr>
    </w:pPr>
    <w:r>
      <w:rPr>
        <w:rFonts w:ascii="Code3of9" w:hAnsi="Code3of9" w:cs="Tahoma"/>
        <w:sz w:val="36"/>
        <w:szCs w:val="40"/>
      </w:rPr>
      <w:t>**RAD_S**</w:t>
    </w:r>
  </w:p>
  <w:p w:rsidR="00492890" w:rsidRDefault="00896237">
    <w:pPr>
      <w:pStyle w:val="Encabezado"/>
      <w:jc w:val="center"/>
      <w:rPr>
        <w:rFonts w:ascii="Code3of9" w:hAnsi="Code3of9" w:cs="Tahoma"/>
        <w:i/>
        <w:sz w:val="36"/>
        <w:szCs w:val="40"/>
      </w:rPr>
    </w:pPr>
  </w:p>
  <w:p w:rsidR="00492890" w:rsidRDefault="00896237">
    <w:pPr>
      <w:widowControl/>
      <w:jc w:val="center"/>
      <w:textAlignment w:val="auto"/>
      <w:rPr>
        <w:rFonts w:ascii="Work Sans" w:hAnsi="Work Sans"/>
        <w:i/>
        <w:sz w:val="20"/>
        <w:szCs w:val="20"/>
      </w:rPr>
    </w:pPr>
    <w:r>
      <w:rPr>
        <w:rFonts w:ascii="Work Sans" w:hAnsi="Work Sans"/>
        <w:i/>
        <w:sz w:val="20"/>
        <w:szCs w:val="20"/>
      </w:rPr>
      <w:t>“Por la cual se emite concepto vinculante previo a la reubicación de la estación de peaje denominada Cajamarca ubicada en la carretera Armenia – La</w:t>
    </w:r>
  </w:p>
  <w:p w:rsidR="00492890" w:rsidRDefault="00896237">
    <w:pPr>
      <w:widowControl/>
      <w:jc w:val="center"/>
      <w:textAlignment w:val="auto"/>
      <w:rPr>
        <w:rFonts w:ascii="Work Sans" w:hAnsi="Work Sans"/>
        <w:i/>
        <w:sz w:val="20"/>
        <w:szCs w:val="20"/>
      </w:rPr>
    </w:pPr>
    <w:r>
      <w:rPr>
        <w:rFonts w:ascii="Work Sans" w:hAnsi="Work Sans"/>
        <w:i/>
        <w:sz w:val="20"/>
        <w:szCs w:val="20"/>
      </w:rPr>
      <w:t>Línea – Ibagué, Ruta 4003”</w:t>
    </w:r>
  </w:p>
  <w:p w:rsidR="00492890" w:rsidRDefault="008962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45C87"/>
    <w:multiLevelType w:val="multilevel"/>
    <w:tmpl w:val="ECE82354"/>
    <w:styleLink w:val="WW8Num5"/>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A8C5DFD"/>
    <w:multiLevelType w:val="multilevel"/>
    <w:tmpl w:val="DE82B644"/>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230C410C"/>
    <w:multiLevelType w:val="multilevel"/>
    <w:tmpl w:val="636A4CF0"/>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23A536DE"/>
    <w:multiLevelType w:val="multilevel"/>
    <w:tmpl w:val="370C19F4"/>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2CA43D24"/>
    <w:multiLevelType w:val="multilevel"/>
    <w:tmpl w:val="9F1C8C7C"/>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30753229"/>
    <w:multiLevelType w:val="multilevel"/>
    <w:tmpl w:val="07E643C0"/>
    <w:styleLink w:val="WW8Num1"/>
    <w:lvl w:ilvl="0">
      <w:start w:val="1"/>
      <w:numFmt w:val="decimal"/>
      <w:lvlText w:val="%1."/>
      <w:lvlJc w:val="left"/>
      <w:rPr>
        <w:rFonts w:ascii="Arial" w:hAnsi="Arial" w:cs="Arial"/>
        <w:spacing w:val="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393F5870"/>
    <w:multiLevelType w:val="multilevel"/>
    <w:tmpl w:val="06124720"/>
    <w:styleLink w:val="WW8Num2"/>
    <w:lvl w:ilvl="0">
      <w:start w:val="1"/>
      <w:numFmt w:val="decimal"/>
      <w:lvlText w:val="%1."/>
      <w:lvlJc w:val="left"/>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3C8150A1"/>
    <w:multiLevelType w:val="multilevel"/>
    <w:tmpl w:val="F7C4CBC8"/>
    <w:styleLink w:val="WW8Num11"/>
    <w:lvl w:ilvl="0">
      <w:start w:val="1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48982677"/>
    <w:multiLevelType w:val="multilevel"/>
    <w:tmpl w:val="A740E528"/>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4BB35D63"/>
    <w:multiLevelType w:val="multilevel"/>
    <w:tmpl w:val="C96258B0"/>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580909D4"/>
    <w:multiLevelType w:val="multilevel"/>
    <w:tmpl w:val="79DC78FC"/>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652056C3"/>
    <w:multiLevelType w:val="multilevel"/>
    <w:tmpl w:val="9AC04CC2"/>
    <w:styleLink w:val="WW8Num6"/>
    <w:lvl w:ilvl="0">
      <w:start w:val="1"/>
      <w:numFmt w:val="decimal"/>
      <w:pStyle w:val="titulotres"/>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6926272E"/>
    <w:multiLevelType w:val="multilevel"/>
    <w:tmpl w:val="B1024BEE"/>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6B684388"/>
    <w:multiLevelType w:val="multilevel"/>
    <w:tmpl w:val="1B0E70DE"/>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6D367F6B"/>
    <w:multiLevelType w:val="multilevel"/>
    <w:tmpl w:val="151AFC8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71BE544A"/>
    <w:multiLevelType w:val="multilevel"/>
    <w:tmpl w:val="E27C5BB4"/>
    <w:styleLink w:val="WW8Num8"/>
    <w:lvl w:ilvl="0">
      <w:start w:val="1"/>
      <w:numFmt w:val="decimal"/>
      <w:lvlText w:val="%1."/>
      <w:lvlJc w:val="left"/>
      <w:rPr>
        <w:rFonts w:ascii="Arial" w:hAnsi="Arial" w:cs="Arial"/>
        <w:b w:val="0"/>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72A57018"/>
    <w:multiLevelType w:val="multilevel"/>
    <w:tmpl w:val="4148C2B2"/>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75AD50B4"/>
    <w:multiLevelType w:val="multilevel"/>
    <w:tmpl w:val="AE2EA450"/>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79E51457"/>
    <w:multiLevelType w:val="multilevel"/>
    <w:tmpl w:val="05444720"/>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5"/>
  </w:num>
  <w:num w:numId="2">
    <w:abstractNumId w:val="6"/>
  </w:num>
  <w:num w:numId="3">
    <w:abstractNumId w:val="18"/>
  </w:num>
  <w:num w:numId="4">
    <w:abstractNumId w:val="17"/>
  </w:num>
  <w:num w:numId="5">
    <w:abstractNumId w:val="0"/>
  </w:num>
  <w:num w:numId="6">
    <w:abstractNumId w:val="11"/>
  </w:num>
  <w:num w:numId="7">
    <w:abstractNumId w:val="2"/>
  </w:num>
  <w:num w:numId="8">
    <w:abstractNumId w:val="15"/>
  </w:num>
  <w:num w:numId="9">
    <w:abstractNumId w:val="9"/>
  </w:num>
  <w:num w:numId="10">
    <w:abstractNumId w:val="12"/>
  </w:num>
  <w:num w:numId="11">
    <w:abstractNumId w:val="7"/>
  </w:num>
  <w:num w:numId="12">
    <w:abstractNumId w:val="3"/>
  </w:num>
  <w:num w:numId="13">
    <w:abstractNumId w:val="1"/>
  </w:num>
  <w:num w:numId="14">
    <w:abstractNumId w:val="13"/>
  </w:num>
  <w:num w:numId="15">
    <w:abstractNumId w:val="4"/>
  </w:num>
  <w:num w:numId="16">
    <w:abstractNumId w:val="16"/>
  </w:num>
  <w:num w:numId="17">
    <w:abstractNumId w:val="10"/>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A4A39"/>
    <w:rsid w:val="00137F9F"/>
    <w:rsid w:val="008318B7"/>
    <w:rsid w:val="00896237"/>
    <w:rsid w:val="00CA4A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16AA21-12D6-4CD5-B231-5812B10F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Lohit Devanagari"/>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Standard"/>
    <w:next w:val="Standard"/>
    <w:uiPriority w:val="9"/>
    <w:qFormat/>
    <w:pPr>
      <w:keepNext/>
      <w:tabs>
        <w:tab w:val="left" w:pos="-720"/>
        <w:tab w:val="left" w:pos="4395"/>
      </w:tabs>
      <w:jc w:val="center"/>
      <w:outlineLvl w:val="0"/>
    </w:pPr>
    <w:rPr>
      <w:rFonts w:ascii="Arial" w:eastAsia="Arial" w:hAnsi="Arial" w:cs="Arial"/>
      <w:b/>
      <w:spacing w:val="-3"/>
      <w:sz w:val="28"/>
    </w:rPr>
  </w:style>
  <w:style w:type="paragraph" w:styleId="Ttulo2">
    <w:name w:val="heading 2"/>
    <w:basedOn w:val="Standard"/>
    <w:next w:val="Standard"/>
    <w:uiPriority w:val="9"/>
    <w:semiHidden/>
    <w:unhideWhenUsed/>
    <w:qFormat/>
    <w:pPr>
      <w:keepNext/>
      <w:widowControl w:val="0"/>
      <w:jc w:val="center"/>
      <w:outlineLvl w:val="1"/>
    </w:pPr>
    <w:rPr>
      <w:rFonts w:ascii="Arial" w:eastAsia="Arial" w:hAnsi="Arial" w:cs="Arial"/>
      <w:b/>
    </w:rPr>
  </w:style>
  <w:style w:type="paragraph" w:styleId="Ttulo3">
    <w:name w:val="heading 3"/>
    <w:basedOn w:val="Standard"/>
    <w:next w:val="Standard"/>
    <w:uiPriority w:val="9"/>
    <w:semiHidden/>
    <w:unhideWhenUsed/>
    <w:qFormat/>
    <w:pPr>
      <w:keepNext/>
      <w:tabs>
        <w:tab w:val="left" w:pos="-720"/>
        <w:tab w:val="right" w:pos="8080"/>
      </w:tabs>
      <w:jc w:val="both"/>
      <w:outlineLvl w:val="2"/>
    </w:pPr>
    <w:rPr>
      <w:rFonts w:ascii="Arial" w:eastAsia="Arial" w:hAnsi="Arial" w:cs="Arial"/>
      <w:spacing w:val="-3"/>
      <w:sz w:val="28"/>
    </w:rPr>
  </w:style>
  <w:style w:type="paragraph" w:styleId="Ttulo4">
    <w:name w:val="heading 4"/>
    <w:basedOn w:val="Standard"/>
    <w:next w:val="Standard"/>
    <w:uiPriority w:val="9"/>
    <w:semiHidden/>
    <w:unhideWhenUsed/>
    <w:qFormat/>
    <w:pPr>
      <w:keepNext/>
      <w:tabs>
        <w:tab w:val="left" w:pos="-720"/>
      </w:tabs>
      <w:ind w:right="851"/>
      <w:jc w:val="both"/>
      <w:outlineLvl w:val="3"/>
    </w:pPr>
    <w:rPr>
      <w:rFonts w:ascii="Arial" w:eastAsia="Arial" w:hAnsi="Arial" w:cs="Arial"/>
      <w:b/>
      <w:bCs/>
      <w:spacing w:val="-3"/>
      <w:sz w:val="28"/>
    </w:rPr>
  </w:style>
  <w:style w:type="paragraph" w:styleId="Ttulo5">
    <w:name w:val="heading 5"/>
    <w:basedOn w:val="Standard"/>
    <w:next w:val="Standard"/>
    <w:uiPriority w:val="9"/>
    <w:semiHidden/>
    <w:unhideWhenUsed/>
    <w:qFormat/>
    <w:pPr>
      <w:keepNext/>
      <w:outlineLvl w:val="4"/>
    </w:pPr>
    <w:rPr>
      <w:rFonts w:ascii="Arial" w:eastAsia="Arial" w:hAnsi="Arial" w:cs="Arial"/>
      <w:b/>
      <w:bCs/>
      <w:sz w:val="28"/>
    </w:rPr>
  </w:style>
  <w:style w:type="paragraph" w:styleId="Ttulo6">
    <w:name w:val="heading 6"/>
    <w:basedOn w:val="Standard"/>
    <w:next w:val="Standard"/>
    <w:uiPriority w:val="9"/>
    <w:semiHidden/>
    <w:unhideWhenUsed/>
    <w:qFormat/>
    <w:pPr>
      <w:keepNext/>
      <w:tabs>
        <w:tab w:val="left" w:pos="-720"/>
      </w:tabs>
      <w:jc w:val="both"/>
      <w:outlineLvl w:val="5"/>
    </w:pPr>
    <w:rPr>
      <w:rFonts w:ascii="Arial" w:eastAsia="Arial" w:hAnsi="Arial" w:cs="Arial"/>
      <w:spacing w:val="-3"/>
      <w:sz w:val="28"/>
    </w:rPr>
  </w:style>
  <w:style w:type="paragraph" w:styleId="Ttulo7">
    <w:name w:val="heading 7"/>
    <w:basedOn w:val="Standard"/>
    <w:next w:val="Standard"/>
    <w:pPr>
      <w:keepNext/>
      <w:outlineLvl w:val="6"/>
    </w:pPr>
    <w:rPr>
      <w:rFonts w:ascii="Arial" w:eastAsia="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eastAsia="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jc w:val="both"/>
    </w:pPr>
    <w:rPr>
      <w:bCs/>
      <w:spacing w:val="0"/>
      <w:sz w:val="24"/>
      <w:szCs w:val="24"/>
    </w:rPr>
  </w:style>
  <w:style w:type="paragraph" w:customStyle="1" w:styleId="Standard">
    <w:name w:val="Standard"/>
    <w:pPr>
      <w:widowControl/>
      <w:suppressAutoHyphens/>
    </w:pPr>
    <w:rPr>
      <w:rFonts w:ascii="Courier New" w:eastAsia="Times New Roman" w:hAnsi="Courier New" w:cs="Courier New"/>
      <w:szCs w:val="20"/>
      <w:lang w:bidi="ar-SA"/>
    </w:rPr>
  </w:style>
  <w:style w:type="paragraph" w:customStyle="1" w:styleId="Heading">
    <w:name w:val="Heading"/>
    <w:basedOn w:val="Standard"/>
    <w:next w:val="Textbody"/>
    <w:pPr>
      <w:spacing w:before="240" w:after="60"/>
      <w:jc w:val="center"/>
    </w:pPr>
    <w:rPr>
      <w:rFonts w:ascii="Arial" w:eastAsia="Arial" w:hAnsi="Arial" w:cs="Arial"/>
      <w:b/>
      <w:sz w:val="32"/>
    </w:rPr>
  </w:style>
  <w:style w:type="paragraph" w:customStyle="1" w:styleId="Textbody">
    <w:name w:val="Text body"/>
    <w:basedOn w:val="Standard"/>
    <w:pPr>
      <w:tabs>
        <w:tab w:val="left" w:pos="-720"/>
      </w:tabs>
      <w:jc w:val="both"/>
    </w:pPr>
    <w:rPr>
      <w:rFonts w:ascii="Arial" w:eastAsia="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Standard"/>
    <w:pPr>
      <w:suppressLineNumbers/>
      <w:tabs>
        <w:tab w:val="center" w:pos="4986"/>
        <w:tab w:val="right" w:pos="9972"/>
      </w:tabs>
    </w:p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eastAsia="Arial" w:hAnsi="Arial" w:cs="Arial"/>
      <w:spacing w:val="-3"/>
      <w:sz w:val="28"/>
    </w:rPr>
  </w:style>
  <w:style w:type="paragraph" w:styleId="Textoindependiente2">
    <w:name w:val="Body Text 2"/>
    <w:basedOn w:val="Standard"/>
    <w:pPr>
      <w:tabs>
        <w:tab w:val="left" w:pos="-720"/>
      </w:tabs>
      <w:ind w:right="851"/>
      <w:jc w:val="both"/>
    </w:pPr>
    <w:rPr>
      <w:rFonts w:ascii="Arial" w:eastAsia="Arial" w:hAnsi="Arial" w:cs="Arial"/>
      <w:spacing w:val="-3"/>
      <w:sz w:val="28"/>
    </w:rPr>
  </w:style>
  <w:style w:type="paragraph" w:styleId="Textoindependiente3">
    <w:name w:val="Body Text 3"/>
    <w:basedOn w:val="Standard"/>
    <w:rPr>
      <w:rFonts w:ascii="Arial" w:eastAsia="Arial" w:hAnsi="Arial" w:cs="Arial"/>
      <w:sz w:val="28"/>
    </w:rPr>
  </w:style>
  <w:style w:type="paragraph" w:styleId="Textodebloque">
    <w:name w:val="Block Text"/>
    <w:basedOn w:val="Standard"/>
    <w:pPr>
      <w:ind w:left="851" w:right="851"/>
      <w:jc w:val="both"/>
    </w:pPr>
    <w:rPr>
      <w:rFonts w:ascii="Bookman Old Style" w:eastAsia="Bookman Old Style" w:hAnsi="Bookman Old Style" w:cs="Bookman Old Style"/>
      <w:sz w:val="22"/>
    </w:rPr>
  </w:style>
  <w:style w:type="paragraph" w:customStyle="1" w:styleId="Documento1">
    <w:name w:val="Documento 1"/>
    <w:pPr>
      <w:keepNext/>
      <w:keepLines/>
      <w:widowControl/>
      <w:tabs>
        <w:tab w:val="left" w:pos="-720"/>
      </w:tabs>
      <w:suppressAutoHyphens/>
    </w:pPr>
    <w:rPr>
      <w:rFonts w:ascii="Courier" w:eastAsia="Times New Roman" w:hAnsi="Courier" w:cs="Courier"/>
      <w:szCs w:val="20"/>
      <w:lang w:val="en-US" w:bidi="ar-SA"/>
    </w:rPr>
  </w:style>
  <w:style w:type="paragraph" w:styleId="Textocomentario">
    <w:name w:val="annotation text"/>
    <w:basedOn w:val="Standard"/>
    <w:rPr>
      <w:rFonts w:ascii="Arial" w:eastAsia="Arial" w:hAnsi="Arial" w:cs="Arial"/>
      <w:sz w:val="20"/>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6"/>
      </w:numPr>
      <w:tabs>
        <w:tab w:val="clear" w:pos="4395"/>
      </w:tabs>
      <w:jc w:val="both"/>
    </w:pPr>
    <w:rPr>
      <w:rFonts w:eastAsia="DejaVu Sans"/>
      <w:bCs/>
      <w:spacing w:val="0"/>
      <w:sz w:val="24"/>
      <w:szCs w:val="22"/>
      <w:lang w:bidi="hi-IN"/>
    </w:rPr>
  </w:style>
  <w:style w:type="paragraph" w:customStyle="1" w:styleId="BodyText23">
    <w:name w:val="Body Text 23"/>
    <w:basedOn w:val="Standard"/>
    <w:pPr>
      <w:widowControl w:val="0"/>
      <w:jc w:val="both"/>
    </w:pPr>
    <w:rPr>
      <w:rFonts w:ascii="Arial" w:eastAsia="Arial" w:hAnsi="Arial" w:cs="Arial"/>
      <w:b/>
    </w:rPr>
  </w:style>
  <w:style w:type="paragraph" w:customStyle="1" w:styleId="Car">
    <w:name w:val="Car"/>
    <w:basedOn w:val="Standard"/>
    <w:pPr>
      <w:spacing w:after="160" w:line="240" w:lineRule="exact"/>
    </w:pPr>
    <w:rPr>
      <w:rFonts w:ascii="Tahoma" w:eastAsia="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widowControl/>
      <w:suppressAutoHyphens/>
    </w:pPr>
    <w:rPr>
      <w:rFonts w:ascii="Courier New" w:eastAsia="Times New Roman" w:hAnsi="Courier New" w:cs="Courier New"/>
      <w:szCs w:val="20"/>
      <w:lang w:bidi="ar-SA"/>
    </w:rPr>
  </w:style>
  <w:style w:type="paragraph" w:customStyle="1" w:styleId="WW-Default">
    <w:name w:val="WW-Default"/>
    <w:pPr>
      <w:widowControl/>
      <w:suppressAutoHyphens/>
      <w:autoSpaceDE w:val="0"/>
    </w:pPr>
    <w:rPr>
      <w:rFonts w:ascii="Verdana" w:eastAsia="Times New Roman" w:hAnsi="Verdana" w:cs="Verdana"/>
      <w:color w:val="000000"/>
      <w:lang w:bidi="ar-SA"/>
    </w:rPr>
  </w:style>
  <w:style w:type="paragraph" w:styleId="Prrafodelista">
    <w:name w:val="List Paragraph"/>
    <w:basedOn w:val="Standard"/>
    <w:pPr>
      <w:ind w:left="708"/>
    </w:pPr>
  </w:style>
  <w:style w:type="paragraph" w:customStyle="1" w:styleId="Style1">
    <w:name w:val="Style 1"/>
    <w:pPr>
      <w:suppressAutoHyphens/>
      <w:autoSpaceDE w:val="0"/>
    </w:pPr>
    <w:rPr>
      <w:rFonts w:ascii="Times New Roman" w:eastAsia="Times New Roman" w:hAnsi="Times New Roman" w:cs="Times New Roman"/>
      <w:sz w:val="20"/>
      <w:szCs w:val="20"/>
      <w:lang w:val="en-US" w:bidi="ar-SA"/>
    </w:rPr>
  </w:style>
  <w:style w:type="paragraph" w:customStyle="1" w:styleId="Style2">
    <w:name w:val="Style 2"/>
    <w:pPr>
      <w:suppressAutoHyphens/>
      <w:autoSpaceDE w:val="0"/>
      <w:spacing w:before="144" w:line="312" w:lineRule="auto"/>
    </w:pPr>
    <w:rPr>
      <w:rFonts w:ascii="Bookman Old Style" w:eastAsia="Times New Roman" w:hAnsi="Bookman Old Style" w:cs="Bookman Old Style"/>
      <w:sz w:val="22"/>
      <w:szCs w:val="22"/>
      <w:lang w:val="en-US" w:bidi="ar-SA"/>
    </w:rPr>
  </w:style>
  <w:style w:type="paragraph" w:customStyle="1" w:styleId="Style3">
    <w:name w:val="Style 3"/>
    <w:pPr>
      <w:suppressAutoHyphens/>
      <w:autoSpaceDE w:val="0"/>
      <w:ind w:left="360"/>
    </w:pPr>
    <w:rPr>
      <w:rFonts w:ascii="Times New Roman" w:eastAsia="Times New Roman" w:hAnsi="Times New Roman" w:cs="Times New Roman"/>
      <w:sz w:val="26"/>
      <w:szCs w:val="26"/>
      <w:lang w:val="en-US" w:bidi="ar-SA"/>
    </w:rPr>
  </w:style>
  <w:style w:type="paragraph" w:customStyle="1" w:styleId="Style7">
    <w:name w:val="Style 7"/>
    <w:pPr>
      <w:suppressAutoHyphens/>
      <w:autoSpaceDE w:val="0"/>
    </w:pPr>
    <w:rPr>
      <w:rFonts w:ascii="Times New Roman" w:eastAsia="Times New Roman" w:hAnsi="Times New Roman" w:cs="Times New Roman"/>
      <w:sz w:val="20"/>
      <w:szCs w:val="20"/>
      <w:lang w:val="en-US" w:bidi="ar-SA"/>
    </w:rPr>
  </w:style>
  <w:style w:type="paragraph" w:customStyle="1" w:styleId="Style8">
    <w:name w:val="Style 8"/>
    <w:pPr>
      <w:suppressAutoHyphens/>
      <w:autoSpaceDE w:val="0"/>
      <w:ind w:left="936" w:hanging="504"/>
    </w:pPr>
    <w:rPr>
      <w:rFonts w:ascii="Arial" w:eastAsia="Times New Roman" w:hAnsi="Arial" w:cs="Arial"/>
      <w:lang w:val="en-US" w:bidi="ar-SA"/>
    </w:rPr>
  </w:style>
  <w:style w:type="paragraph" w:customStyle="1" w:styleId="Style6">
    <w:name w:val="Style 6"/>
    <w:pPr>
      <w:suppressAutoHyphens/>
      <w:autoSpaceDE w:val="0"/>
      <w:spacing w:line="204" w:lineRule="auto"/>
      <w:ind w:left="288"/>
    </w:pPr>
    <w:rPr>
      <w:rFonts w:ascii="Arial" w:eastAsia="Times New Roman" w:hAnsi="Arial" w:cs="Arial"/>
      <w:lang w:val="en-US" w:bidi="ar-SA"/>
    </w:rPr>
  </w:style>
  <w:style w:type="paragraph" w:styleId="Textodeglobo">
    <w:name w:val="Balloon Text"/>
    <w:basedOn w:val="Normal"/>
    <w:rPr>
      <w:rFonts w:ascii="Tahoma" w:eastAsia="Tahoma" w:hAnsi="Tahoma" w:cs="Mangal"/>
      <w:sz w:val="16"/>
      <w:szCs w:val="14"/>
    </w:rPr>
  </w:style>
  <w:style w:type="character" w:customStyle="1" w:styleId="WW8Num1z0">
    <w:name w:val="WW8Num1z0"/>
    <w:rPr>
      <w:rFonts w:ascii="Arial" w:eastAsia="Arial" w:hAnsi="Arial" w:cs="Arial"/>
      <w:spacing w:val="6"/>
      <w:sz w:val="22"/>
      <w:szCs w:val="22"/>
    </w:rPr>
  </w:style>
  <w:style w:type="character" w:customStyle="1" w:styleId="WW8Num2z0">
    <w:name w:val="WW8Num2z0"/>
    <w:rPr>
      <w:rFonts w:ascii="Arial" w:eastAsia="Arial" w:hAnsi="Arial" w:cs="Arial"/>
      <w:sz w:val="24"/>
      <w:szCs w:val="24"/>
    </w:rPr>
  </w:style>
  <w:style w:type="character" w:customStyle="1" w:styleId="WW8Num5z0">
    <w:name w:val="WW8Num5z0"/>
    <w:rPr>
      <w:b w:val="0"/>
    </w:rPr>
  </w:style>
  <w:style w:type="character" w:customStyle="1" w:styleId="WW8Num8z0">
    <w:name w:val="WW8Num8z0"/>
    <w:rPr>
      <w:rFonts w:ascii="Arial" w:eastAsia="Arial" w:hAnsi="Arial" w:cs="Arial"/>
      <w:b w:val="0"/>
      <w:i w:val="0"/>
      <w:sz w:val="22"/>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4z0">
    <w:name w:val="WW8Num14z0"/>
    <w:rPr>
      <w:b w:val="0"/>
    </w:rPr>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haracterStyle1">
    <w:name w:val="Character Style 1"/>
    <w:rPr>
      <w:rFonts w:ascii="Bookman Old Style" w:eastAsia="Bookman Old Style" w:hAnsi="Bookman Old Style" w:cs="Bookman Old Style"/>
      <w:sz w:val="22"/>
    </w:rPr>
  </w:style>
  <w:style w:type="character" w:customStyle="1" w:styleId="CharacterStyle2">
    <w:name w:val="Character Style 2"/>
    <w:rPr>
      <w:sz w:val="26"/>
    </w:rPr>
  </w:style>
  <w:style w:type="character" w:customStyle="1" w:styleId="EncabezadoCar">
    <w:name w:val="Encabezado Car"/>
    <w:basedOn w:val="Fuentedeprrafopredeter"/>
    <w:rPr>
      <w:rFonts w:cs="Mangal"/>
      <w:szCs w:val="21"/>
    </w:rPr>
  </w:style>
  <w:style w:type="character" w:customStyle="1" w:styleId="PiedepginaCar">
    <w:name w:val="Pie de página Car"/>
    <w:basedOn w:val="Fuentedeprrafopredeter"/>
    <w:rPr>
      <w:rFonts w:cs="Mangal"/>
      <w:szCs w:val="21"/>
    </w:rPr>
  </w:style>
  <w:style w:type="character" w:customStyle="1" w:styleId="TextodegloboCar">
    <w:name w:val="Texto de globo Car"/>
    <w:basedOn w:val="Fuentedeprrafopredeter"/>
    <w:rPr>
      <w:rFonts w:ascii="Tahoma" w:eastAsia="Tahoma" w:hAnsi="Tahoma" w:cs="Mangal"/>
      <w:sz w:val="16"/>
      <w:szCs w:val="14"/>
    </w:rPr>
  </w:style>
  <w:style w:type="character" w:customStyle="1" w:styleId="Fuentedeprrafopredeter0">
    <w:name w:val="Fuente de párrafo predeter"/>
  </w:style>
  <w:style w:type="character" w:styleId="Refdecomentario">
    <w:name w:val="annotation reference"/>
    <w:basedOn w:val="Fuentedeprrafopredeter"/>
    <w:rPr>
      <w:sz w:val="16"/>
      <w:szCs w:val="16"/>
    </w:rPr>
  </w:style>
  <w:style w:type="paragraph" w:styleId="Asuntodelcomentario">
    <w:name w:val="annotation subject"/>
    <w:basedOn w:val="Textocomentario"/>
    <w:next w:val="Textocomentario"/>
    <w:pPr>
      <w:widowControl w:val="0"/>
    </w:pPr>
    <w:rPr>
      <w:rFonts w:ascii="Liberation Serif" w:eastAsia="DejaVu Sans" w:hAnsi="Liberation Serif" w:cs="Mangal"/>
      <w:b/>
      <w:bCs/>
      <w:szCs w:val="18"/>
      <w:lang w:bidi="hi-IN"/>
    </w:rPr>
  </w:style>
  <w:style w:type="character" w:customStyle="1" w:styleId="StandardCar">
    <w:name w:val="Standard Car"/>
    <w:basedOn w:val="Fuentedeprrafopredeter"/>
    <w:rPr>
      <w:rFonts w:ascii="Courier New" w:eastAsia="Times New Roman" w:hAnsi="Courier New" w:cs="Courier New"/>
      <w:szCs w:val="20"/>
      <w:lang w:bidi="ar-SA"/>
    </w:rPr>
  </w:style>
  <w:style w:type="character" w:customStyle="1" w:styleId="TextocomentarioCar">
    <w:name w:val="Texto comentario Car"/>
    <w:basedOn w:val="StandardCar"/>
    <w:rPr>
      <w:rFonts w:ascii="Arial" w:eastAsia="Arial" w:hAnsi="Arial" w:cs="Arial"/>
      <w:sz w:val="20"/>
      <w:szCs w:val="20"/>
      <w:lang w:bidi="ar-SA"/>
    </w:rPr>
  </w:style>
  <w:style w:type="character" w:customStyle="1" w:styleId="AsuntodelcomentarioCar">
    <w:name w:val="Asunto del comentario Car"/>
    <w:basedOn w:val="TextocomentarioCar"/>
    <w:rPr>
      <w:rFonts w:ascii="Arial" w:eastAsia="Arial" w:hAnsi="Arial" w:cs="Mangal"/>
      <w:b/>
      <w:bCs/>
      <w:sz w:val="20"/>
      <w:szCs w:val="18"/>
      <w:lang w:bidi="ar-SA"/>
    </w:rPr>
  </w:style>
  <w:style w:type="character" w:customStyle="1" w:styleId="PrrafodelistaCar">
    <w:name w:val="Párrafo de lista Car"/>
    <w:rPr>
      <w:rFonts w:ascii="Courier New" w:eastAsia="Times New Roman" w:hAnsi="Courier New" w:cs="Courier New"/>
      <w:szCs w:val="20"/>
      <w:lang w:bidi="ar-SA"/>
    </w:rPr>
  </w:style>
  <w:style w:type="paragraph" w:customStyle="1" w:styleId="Normal1">
    <w:name w:val="Normal 1"/>
    <w:basedOn w:val="Sangranormal"/>
    <w:pPr>
      <w:widowControl/>
      <w:ind w:left="864" w:hanging="864"/>
      <w:jc w:val="both"/>
      <w:textAlignment w:val="auto"/>
    </w:pPr>
    <w:rPr>
      <w:rFonts w:ascii="Times New Roman" w:eastAsia="Times New Roman" w:hAnsi="Times New Roman" w:cs="Times New Roman"/>
      <w:kern w:val="0"/>
      <w:szCs w:val="24"/>
      <w:lang w:val="es" w:eastAsia="es-ES" w:bidi="ar-SA"/>
    </w:rPr>
  </w:style>
  <w:style w:type="character" w:styleId="Refdenotaalpie">
    <w:name w:val="footnote reference"/>
    <w:basedOn w:val="Fuentedeprrafopredeter"/>
    <w:rPr>
      <w:position w:val="0"/>
      <w:vertAlign w:val="superscript"/>
    </w:rPr>
  </w:style>
  <w:style w:type="paragraph" w:styleId="Textonotapie">
    <w:name w:val="footnote text"/>
    <w:basedOn w:val="Normal"/>
    <w:pPr>
      <w:widowControl/>
      <w:textAlignment w:val="auto"/>
    </w:pPr>
    <w:rPr>
      <w:rFonts w:ascii="Times New Roman" w:eastAsia="Times New Roman" w:hAnsi="Times New Roman" w:cs="Times New Roman"/>
      <w:kern w:val="0"/>
      <w:sz w:val="20"/>
      <w:szCs w:val="20"/>
      <w:lang w:eastAsia="es-ES" w:bidi="ar-SA"/>
    </w:rPr>
  </w:style>
  <w:style w:type="character" w:customStyle="1" w:styleId="TextonotapieCar">
    <w:name w:val="Texto nota pie Car"/>
    <w:basedOn w:val="Fuentedeprrafopredeter"/>
    <w:rPr>
      <w:rFonts w:ascii="Times New Roman" w:eastAsia="Times New Roman" w:hAnsi="Times New Roman" w:cs="Times New Roman"/>
      <w:kern w:val="0"/>
      <w:sz w:val="20"/>
      <w:szCs w:val="20"/>
      <w:lang w:eastAsia="es-ES" w:bidi="ar-SA"/>
    </w:rPr>
  </w:style>
  <w:style w:type="paragraph" w:styleId="Sangranormal">
    <w:name w:val="Normal Indent"/>
    <w:basedOn w:val="Normal"/>
    <w:pPr>
      <w:ind w:left="708"/>
    </w:pPr>
    <w:rPr>
      <w:rFonts w:cs="Mangal"/>
      <w:szCs w:val="21"/>
    </w:rPr>
  </w:style>
  <w:style w:type="paragraph" w:customStyle="1" w:styleId="pa7">
    <w:name w:val="pa7"/>
    <w:basedOn w:val="Normal"/>
    <w:pPr>
      <w:widowControl/>
      <w:spacing w:before="100" w:after="100"/>
      <w:textAlignment w:val="auto"/>
    </w:pPr>
    <w:rPr>
      <w:rFonts w:ascii="Times New Roman" w:eastAsia="Times New Roman" w:hAnsi="Times New Roman" w:cs="Times New Roman"/>
      <w:kern w:val="0"/>
      <w:lang w:val="es-CO" w:eastAsia="es-CO" w:bidi="ar-SA"/>
    </w:rPr>
  </w:style>
  <w:style w:type="character" w:customStyle="1" w:styleId="Ttulo2Car">
    <w:name w:val="Título 2 Car"/>
    <w:basedOn w:val="Fuentedeprrafopredeter"/>
    <w:rPr>
      <w:rFonts w:ascii="Arial" w:eastAsia="Arial" w:hAnsi="Arial" w:cs="Arial"/>
      <w:b/>
      <w:szCs w:val="20"/>
      <w:lang w:bidi="ar-SA"/>
    </w:rPr>
  </w:style>
  <w:style w:type="character" w:customStyle="1" w:styleId="spelle">
    <w:name w:val="spelle"/>
    <w:basedOn w:val="Fuentedeprrafopredeter"/>
  </w:style>
  <w:style w:type="paragraph" w:styleId="Textoindependiente">
    <w:name w:val="Body Text"/>
    <w:basedOn w:val="Normal"/>
    <w:pPr>
      <w:spacing w:after="120"/>
    </w:pPr>
    <w:rPr>
      <w:rFonts w:cs="Mangal"/>
      <w:szCs w:val="21"/>
    </w:rPr>
  </w:style>
  <w:style w:type="character" w:customStyle="1" w:styleId="TextoindependienteCar">
    <w:name w:val="Texto independiente Car"/>
    <w:basedOn w:val="Fuentedeprrafopredeter"/>
    <w:rPr>
      <w:rFonts w:cs="Mangal"/>
      <w:szCs w:val="21"/>
    </w:rPr>
  </w:style>
  <w:style w:type="character" w:styleId="Hipervnculo">
    <w:name w:val="Hyperlink"/>
    <w:basedOn w:val="Fuentedeprrafopredeter"/>
    <w:rPr>
      <w:color w:val="0000FF"/>
      <w:u w:val="single"/>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xbase.biz/lexbase/normas/leyes/2002/L0787de200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2262</Words>
  <Characters>12441</Characters>
  <Application>Microsoft Office Word</Application>
  <DocSecurity>0</DocSecurity>
  <Lines>103</Lines>
  <Paragraphs>29</Paragraphs>
  <ScaleCrop>false</ScaleCrop>
  <Company/>
  <LinksUpToDate>false</LinksUpToDate>
  <CharactersWithSpaces>14674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Jaime Silva Rodriguez</cp:lastModifiedBy>
  <cp:revision>2</cp:revision>
  <cp:lastPrinted>2019-01-03T16:53:00Z</cp:lastPrinted>
  <dcterms:created xsi:type="dcterms:W3CDTF">2020-08-14T14:18:00Z</dcterms:created>
  <dcterms:modified xsi:type="dcterms:W3CDTF">2020-08-14T14:18:00Z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